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0C239" w14:textId="77777777" w:rsidR="00F86AB0" w:rsidRDefault="00F41D2B">
      <w:pPr>
        <w:ind w:left="292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CB6900D" wp14:editId="32C133B7">
            <wp:extent cx="2692620" cy="740282"/>
            <wp:effectExtent l="0" t="0" r="0" b="0"/>
            <wp:docPr id="1" name="Image 1" descr="A picture containing text, clipart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picture containing text, clipart 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2620" cy="740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7C2AB" w14:textId="77777777" w:rsidR="00F86AB0" w:rsidRDefault="00F41D2B">
      <w:pPr>
        <w:pStyle w:val="Heading1"/>
        <w:spacing w:before="182"/>
        <w:ind w:right="6"/>
      </w:pPr>
      <w:r>
        <w:t>Financial</w:t>
      </w:r>
      <w:r>
        <w:rPr>
          <w:spacing w:val="-8"/>
        </w:rPr>
        <w:t xml:space="preserve"> </w:t>
      </w:r>
      <w:r>
        <w:t xml:space="preserve">Statement </w:t>
      </w:r>
      <w:r>
        <w:rPr>
          <w:spacing w:val="-2"/>
        </w:rPr>
        <w:t>Summary</w:t>
      </w:r>
    </w:p>
    <w:p w14:paraId="64D422A3" w14:textId="233E2650" w:rsidR="00F86AB0" w:rsidRDefault="00F41D2B">
      <w:pPr>
        <w:pStyle w:val="Heading1"/>
      </w:pP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Fiscal</w:t>
      </w:r>
      <w:r>
        <w:rPr>
          <w:spacing w:val="-2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Ended June</w:t>
      </w:r>
      <w:r>
        <w:rPr>
          <w:spacing w:val="-5"/>
        </w:rPr>
        <w:t xml:space="preserve"> </w:t>
      </w:r>
      <w:r>
        <w:t>30,</w:t>
      </w:r>
      <w:r>
        <w:rPr>
          <w:spacing w:val="-2"/>
        </w:rPr>
        <w:t xml:space="preserve"> </w:t>
      </w:r>
      <w:r w:rsidR="004A7C31">
        <w:rPr>
          <w:spacing w:val="-4"/>
        </w:rPr>
        <w:t>2025</w:t>
      </w:r>
    </w:p>
    <w:p w14:paraId="3941C59F" w14:textId="25766E0E" w:rsidR="00F86AB0" w:rsidRDefault="00F41D2B">
      <w:pPr>
        <w:pStyle w:val="BodyText"/>
        <w:spacing w:before="0" w:line="259" w:lineRule="auto"/>
        <w:ind w:right="348"/>
      </w:pPr>
      <w:r>
        <w:t>I am pleased to present the audited financial statements for Wentworth Institute of Technology (the</w:t>
      </w:r>
      <w:r>
        <w:rPr>
          <w:spacing w:val="-1"/>
        </w:rPr>
        <w:t xml:space="preserve"> </w:t>
      </w:r>
      <w:r>
        <w:t>“University”) for the fiscal</w:t>
      </w:r>
      <w:r>
        <w:rPr>
          <w:spacing w:val="-2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ending June 30,</w:t>
      </w:r>
      <w:r>
        <w:rPr>
          <w:spacing w:val="-2"/>
        </w:rPr>
        <w:t xml:space="preserve"> </w:t>
      </w:r>
      <w:r w:rsidR="004A7C31">
        <w:t>2025</w:t>
      </w:r>
      <w:r>
        <w:t>. Consistent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prior</w:t>
      </w:r>
      <w:r>
        <w:rPr>
          <w:spacing w:val="-6"/>
        </w:rPr>
        <w:t xml:space="preserve"> </w:t>
      </w:r>
      <w:r>
        <w:t>years,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University has received a “clean” or unmodified audit opinion from our external auditors, which means the financial statements are presented fairly and are free from material misstatement.</w:t>
      </w:r>
    </w:p>
    <w:p w14:paraId="2B4728A6" w14:textId="77777777" w:rsidR="00F86AB0" w:rsidRDefault="00F41D2B">
      <w:pPr>
        <w:spacing w:before="161"/>
        <w:ind w:left="360"/>
        <w:rPr>
          <w:b/>
          <w:i/>
        </w:rPr>
      </w:pPr>
      <w:r>
        <w:rPr>
          <w:b/>
          <w:i/>
        </w:rPr>
        <w:t>Statement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8"/>
        </w:rPr>
        <w:t xml:space="preserve"> </w:t>
      </w:r>
      <w:r>
        <w:rPr>
          <w:b/>
          <w:i/>
          <w:spacing w:val="-2"/>
        </w:rPr>
        <w:t>Activities</w:t>
      </w:r>
    </w:p>
    <w:p w14:paraId="63EF3182" w14:textId="77777777" w:rsidR="00F86AB0" w:rsidRDefault="00F41D2B">
      <w:pPr>
        <w:pStyle w:val="Heading2"/>
        <w:spacing w:before="180"/>
      </w:pPr>
      <w:r>
        <w:t>Operating</w:t>
      </w:r>
      <w:r>
        <w:rPr>
          <w:spacing w:val="-12"/>
        </w:rPr>
        <w:t xml:space="preserve"> </w:t>
      </w:r>
      <w:r>
        <w:rPr>
          <w:spacing w:val="-2"/>
        </w:rPr>
        <w:t>Results</w:t>
      </w:r>
    </w:p>
    <w:p w14:paraId="45F74D7B" w14:textId="3915835A" w:rsidR="00733A98" w:rsidRDefault="00733A98" w:rsidP="008F3E3B">
      <w:pPr>
        <w:pStyle w:val="BodyText"/>
        <w:spacing w:before="180" w:line="259" w:lineRule="auto"/>
        <w:ind w:left="358" w:right="351"/>
      </w:pPr>
      <w:r>
        <w:t xml:space="preserve">Fiscal year 2025 ended with a modest deficit of $1.4 million, within (1%) of operating revenues, which marks a 55% improvement from fiscal year 2024’s results. </w:t>
      </w:r>
    </w:p>
    <w:p w14:paraId="7E87C3B4" w14:textId="276B80D3" w:rsidR="00355140" w:rsidRDefault="00F41D2B" w:rsidP="00733A98">
      <w:pPr>
        <w:pStyle w:val="BodyText"/>
        <w:spacing w:line="259" w:lineRule="auto"/>
        <w:ind w:right="347"/>
      </w:pPr>
      <w:r>
        <w:t xml:space="preserve">Total operating revenues increased </w:t>
      </w:r>
      <w:r w:rsidR="004A7C31">
        <w:t>by just over $10M</w:t>
      </w:r>
      <w:r>
        <w:t xml:space="preserve">, or </w:t>
      </w:r>
      <w:r w:rsidR="00EA54EC">
        <w:t>7.4</w:t>
      </w:r>
      <w:r>
        <w:t xml:space="preserve">%, over the prior fiscal year. </w:t>
      </w:r>
      <w:r w:rsidR="00EA54EC">
        <w:t xml:space="preserve">The </w:t>
      </w:r>
      <w:r>
        <w:t>primary driver</w:t>
      </w:r>
      <w:r w:rsidR="00EA54EC">
        <w:t xml:space="preserve"> of year-over-year revenue growth was a supplemental draw from the endowment; however, holding aside that one-time draw,</w:t>
      </w:r>
      <w:r w:rsidR="00355140">
        <w:t xml:space="preserve"> the University still achieved moderate/strong </w:t>
      </w:r>
      <w:r w:rsidR="00EA54EC">
        <w:t xml:space="preserve">revenue growth </w:t>
      </w:r>
      <w:r w:rsidR="00355140">
        <w:t xml:space="preserve">of 3.8%. Private gifts and bequests far outpaced last year, including a generous gift of classroom and workspace furniture, and the first of a series of pledge payments toward a </w:t>
      </w:r>
      <w:hyperlink r:id="rId5">
        <w:r w:rsidR="00355140" w:rsidRPr="57D046E6">
          <w:rPr>
            <w:rStyle w:val="Hyperlink"/>
          </w:rPr>
          <w:t>significant and transformative gift</w:t>
        </w:r>
      </w:hyperlink>
      <w:r w:rsidR="00355140">
        <w:t xml:space="preserve">. Net student tuition &amp; fees remained flat, reflecting Wentworth’s commitment to supporting access to </w:t>
      </w:r>
      <w:r w:rsidR="000B5F23">
        <w:t xml:space="preserve">affordable educational programs by increasing undergraduate financial </w:t>
      </w:r>
      <w:proofErr w:type="gramStart"/>
      <w:r w:rsidR="000B5F23">
        <w:t>aid .</w:t>
      </w:r>
      <w:proofErr w:type="gramEnd"/>
      <w:r w:rsidR="000B5F23">
        <w:t xml:space="preserve">  </w:t>
      </w:r>
      <w:r w:rsidR="00733A98">
        <w:t xml:space="preserve">Although Wentworth continues to derive </w:t>
      </w:r>
      <w:r w:rsidR="008F3E3B">
        <w:t>most of</w:t>
      </w:r>
      <w:r w:rsidR="00733A98">
        <w:t xml:space="preserve"> its annual operational income from tuition and auxiliary operations, it also continues to diversify its revenue streams in areas such as gift and grant revenues</w:t>
      </w:r>
    </w:p>
    <w:p w14:paraId="620FF932" w14:textId="006E25BE" w:rsidR="00F86AB0" w:rsidRDefault="00F41D2B">
      <w:pPr>
        <w:pStyle w:val="BodyText"/>
        <w:spacing w:before="153" w:line="259" w:lineRule="auto"/>
        <w:ind w:right="351"/>
      </w:pPr>
      <w:r>
        <w:t xml:space="preserve">Total operating expenses grew </w:t>
      </w:r>
      <w:r w:rsidR="001E06FF">
        <w:t xml:space="preserve">by just over 6% in </w:t>
      </w:r>
      <w:r>
        <w:t>fiscal year 202</w:t>
      </w:r>
      <w:r w:rsidR="001E06FF">
        <w:t>5</w:t>
      </w:r>
      <w:r>
        <w:t xml:space="preserve"> over the prior year, </w:t>
      </w:r>
      <w:r w:rsidR="00B61524">
        <w:t xml:space="preserve">driven by staff &amp; faculty benefit costs, as well as investments to support the next phase of </w:t>
      </w:r>
      <w:hyperlink r:id="rId6">
        <w:r w:rsidR="00B61524" w:rsidRPr="57D046E6">
          <w:rPr>
            <w:rStyle w:val="Hyperlink"/>
          </w:rPr>
          <w:t>Wentworth’s Strategic Plan</w:t>
        </w:r>
      </w:hyperlink>
      <w:r w:rsidR="00B61524">
        <w:t xml:space="preserve">. </w:t>
      </w:r>
      <w:r w:rsidR="00733A98">
        <w:t xml:space="preserve">The </w:t>
      </w:r>
      <w:r w:rsidR="008F3E3B">
        <w:t>University continues to pursue net positive operating results; r</w:t>
      </w:r>
      <w:r w:rsidR="00733A98">
        <w:t xml:space="preserve">ecognizing that salary and benefit costs continue to drive </w:t>
      </w:r>
      <w:proofErr w:type="gramStart"/>
      <w:r w:rsidR="00A514DE">
        <w:t>the majority of</w:t>
      </w:r>
      <w:proofErr w:type="gramEnd"/>
      <w:r w:rsidR="00A514DE">
        <w:t xml:space="preserve"> </w:t>
      </w:r>
      <w:r w:rsidR="00733A98">
        <w:t>spending, the University made the difficult decision</w:t>
      </w:r>
      <w:r w:rsidR="008F3E3B">
        <w:t xml:space="preserve"> in 2025</w:t>
      </w:r>
      <w:r w:rsidR="00733A98">
        <w:t xml:space="preserve"> to </w:t>
      </w:r>
      <w:r w:rsidR="00A514DE">
        <w:t xml:space="preserve">modestly </w:t>
      </w:r>
      <w:r w:rsidR="00733A98">
        <w:t>reorganize &amp; reduce its</w:t>
      </w:r>
      <w:r w:rsidR="008F3E3B">
        <w:t xml:space="preserve"> non-faculty</w:t>
      </w:r>
      <w:r w:rsidR="00733A98">
        <w:t xml:space="preserve"> workforce </w:t>
      </w:r>
      <w:r w:rsidR="008F3E3B">
        <w:t xml:space="preserve">by </w:t>
      </w:r>
      <w:r w:rsidR="00A514DE">
        <w:t>~3</w:t>
      </w:r>
      <w:r w:rsidR="008F3E3B">
        <w:t xml:space="preserve">%. </w:t>
      </w:r>
    </w:p>
    <w:p w14:paraId="19D7E150" w14:textId="77777777" w:rsidR="00F86AB0" w:rsidRDefault="00F41D2B">
      <w:pPr>
        <w:pStyle w:val="Heading2"/>
      </w:pPr>
      <w:r>
        <w:rPr>
          <w:spacing w:val="-2"/>
        </w:rPr>
        <w:t>Nonoperating</w:t>
      </w:r>
      <w:r>
        <w:rPr>
          <w:spacing w:val="6"/>
        </w:rPr>
        <w:t xml:space="preserve"> </w:t>
      </w:r>
      <w:r>
        <w:rPr>
          <w:spacing w:val="-2"/>
        </w:rPr>
        <w:t>Results</w:t>
      </w:r>
    </w:p>
    <w:p w14:paraId="09EB6DFE" w14:textId="3E3F312E" w:rsidR="00F86AB0" w:rsidRDefault="00F41D2B">
      <w:pPr>
        <w:pStyle w:val="BodyText"/>
        <w:spacing w:before="181" w:line="259" w:lineRule="auto"/>
        <w:ind w:left="358" w:right="349"/>
      </w:pPr>
      <w:r>
        <w:t xml:space="preserve">The University’s net assets </w:t>
      </w:r>
      <w:r w:rsidR="001E7065">
        <w:t xml:space="preserve">increased by approximately $2 million from </w:t>
      </w:r>
      <w:r>
        <w:t>non-operating activities in fiscal year 202</w:t>
      </w:r>
      <w:r w:rsidR="001E7065">
        <w:t>5</w:t>
      </w:r>
      <w:r>
        <w:t>, primarily driven by the University’s investment return which was offset by the annual draw from the endowment to support University operations.</w:t>
      </w:r>
    </w:p>
    <w:p w14:paraId="27E75808" w14:textId="77777777" w:rsidR="00F86AB0" w:rsidRDefault="00F41D2B">
      <w:pPr>
        <w:pStyle w:val="Heading3"/>
      </w:pPr>
      <w:r>
        <w:t>Statement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Financial</w:t>
      </w:r>
      <w:r>
        <w:rPr>
          <w:spacing w:val="-7"/>
        </w:rPr>
        <w:t xml:space="preserve"> </w:t>
      </w:r>
      <w:r>
        <w:rPr>
          <w:spacing w:val="-2"/>
        </w:rPr>
        <w:t>Position</w:t>
      </w:r>
    </w:p>
    <w:p w14:paraId="7128EB91" w14:textId="6BB0FF27" w:rsidR="00F86AB0" w:rsidRDefault="00733A98">
      <w:pPr>
        <w:pStyle w:val="BodyText"/>
        <w:spacing w:before="180" w:line="259" w:lineRule="auto"/>
        <w:ind w:left="358" w:right="351"/>
      </w:pPr>
      <w:r>
        <w:t>The</w:t>
      </w:r>
      <w:r w:rsidR="00F41D2B">
        <w:t xml:space="preserve"> University</w:t>
      </w:r>
      <w:r w:rsidR="00F41D2B">
        <w:rPr>
          <w:spacing w:val="-13"/>
        </w:rPr>
        <w:t xml:space="preserve"> </w:t>
      </w:r>
      <w:r w:rsidR="00F41D2B">
        <w:t>ended</w:t>
      </w:r>
      <w:r w:rsidR="00F41D2B">
        <w:rPr>
          <w:spacing w:val="-12"/>
        </w:rPr>
        <w:t xml:space="preserve"> </w:t>
      </w:r>
      <w:r w:rsidR="00F41D2B">
        <w:t>the</w:t>
      </w:r>
      <w:r w:rsidR="00F41D2B">
        <w:rPr>
          <w:spacing w:val="-11"/>
        </w:rPr>
        <w:t xml:space="preserve"> </w:t>
      </w:r>
      <w:r w:rsidR="00F41D2B">
        <w:t>year</w:t>
      </w:r>
      <w:r w:rsidR="00F41D2B">
        <w:rPr>
          <w:spacing w:val="-13"/>
        </w:rPr>
        <w:t xml:space="preserve"> </w:t>
      </w:r>
      <w:r w:rsidR="00F41D2B">
        <w:t>with</w:t>
      </w:r>
      <w:r w:rsidR="00F41D2B">
        <w:rPr>
          <w:spacing w:val="-8"/>
        </w:rPr>
        <w:t xml:space="preserve"> </w:t>
      </w:r>
      <w:r w:rsidR="00F41D2B">
        <w:t>a</w:t>
      </w:r>
      <w:r w:rsidR="00F41D2B">
        <w:rPr>
          <w:spacing w:val="-13"/>
        </w:rPr>
        <w:t xml:space="preserve"> </w:t>
      </w:r>
      <w:r w:rsidR="00F41D2B">
        <w:t>very</w:t>
      </w:r>
      <w:r w:rsidR="00F41D2B">
        <w:rPr>
          <w:spacing w:val="-6"/>
        </w:rPr>
        <w:t xml:space="preserve"> </w:t>
      </w:r>
      <w:r w:rsidR="00F41D2B">
        <w:t>healthy</w:t>
      </w:r>
      <w:r w:rsidR="00F41D2B">
        <w:rPr>
          <w:spacing w:val="-11"/>
        </w:rPr>
        <w:t xml:space="preserve"> </w:t>
      </w:r>
      <w:r w:rsidR="00F41D2B">
        <w:t>balance</w:t>
      </w:r>
      <w:r w:rsidR="00F41D2B">
        <w:rPr>
          <w:spacing w:val="-13"/>
        </w:rPr>
        <w:t xml:space="preserve"> </w:t>
      </w:r>
      <w:r w:rsidR="00F41D2B">
        <w:t>sheet</w:t>
      </w:r>
      <w:r w:rsidR="00F41D2B">
        <w:rPr>
          <w:spacing w:val="-8"/>
        </w:rPr>
        <w:t xml:space="preserve"> </w:t>
      </w:r>
      <w:r w:rsidR="00F41D2B">
        <w:t>including</w:t>
      </w:r>
      <w:r w:rsidR="00F41D2B">
        <w:rPr>
          <w:spacing w:val="-9"/>
        </w:rPr>
        <w:t xml:space="preserve"> </w:t>
      </w:r>
      <w:r w:rsidR="00F41D2B">
        <w:t>strong</w:t>
      </w:r>
      <w:r w:rsidR="00F41D2B">
        <w:rPr>
          <w:spacing w:val="-9"/>
        </w:rPr>
        <w:t xml:space="preserve"> </w:t>
      </w:r>
      <w:r w:rsidR="00F41D2B">
        <w:t>balances</w:t>
      </w:r>
      <w:r w:rsidR="00F41D2B">
        <w:rPr>
          <w:spacing w:val="-10"/>
        </w:rPr>
        <w:t xml:space="preserve"> </w:t>
      </w:r>
      <w:r w:rsidR="00F41D2B">
        <w:t>within</w:t>
      </w:r>
      <w:r w:rsidR="00F41D2B">
        <w:rPr>
          <w:spacing w:val="-12"/>
        </w:rPr>
        <w:t xml:space="preserve"> </w:t>
      </w:r>
      <w:r w:rsidR="00F41D2B">
        <w:t>certain</w:t>
      </w:r>
      <w:r w:rsidR="00F41D2B">
        <w:rPr>
          <w:spacing w:val="-12"/>
        </w:rPr>
        <w:t xml:space="preserve"> </w:t>
      </w:r>
      <w:r w:rsidR="00F41D2B">
        <w:t xml:space="preserve">areas such as cash, working capital, and investments. The University has </w:t>
      </w:r>
      <w:r w:rsidR="001E7065">
        <w:t xml:space="preserve">sufficient </w:t>
      </w:r>
      <w:r w:rsidR="00F41D2B">
        <w:t xml:space="preserve">liquidity with its financial assets to meet general expenditures on June 30, </w:t>
      </w:r>
      <w:r w:rsidR="001E7065">
        <w:t>2025</w:t>
      </w:r>
      <w:r w:rsidR="00F41D2B">
        <w:t>.</w:t>
      </w:r>
    </w:p>
    <w:p w14:paraId="49E21083" w14:textId="77777777" w:rsidR="00F86AB0" w:rsidRDefault="00F41D2B">
      <w:pPr>
        <w:pStyle w:val="Heading3"/>
        <w:spacing w:before="160"/>
      </w:pPr>
      <w:r>
        <w:rPr>
          <w:spacing w:val="-2"/>
        </w:rPr>
        <w:t>Summary</w:t>
      </w:r>
    </w:p>
    <w:p w14:paraId="043AC8F1" w14:textId="77777777" w:rsidR="008F3E3B" w:rsidRDefault="00F41D2B" w:rsidP="008F3E3B">
      <w:pPr>
        <w:pStyle w:val="BodyText"/>
        <w:spacing w:before="153" w:line="259" w:lineRule="auto"/>
        <w:ind w:right="351"/>
      </w:pPr>
      <w:r>
        <w:t xml:space="preserve">The University </w:t>
      </w:r>
      <w:r w:rsidR="001E7065">
        <w:t xml:space="preserve">is moving quickly and decisively to make tangible progress on its strategic plan, and to create capacity to make investments in the </w:t>
      </w:r>
      <w:r>
        <w:t xml:space="preserve">four overarching strategic initiatives it is pursuing: Inclusive Excellence, High Value Learning, </w:t>
      </w:r>
      <w:proofErr w:type="gramStart"/>
      <w:r>
        <w:t>a Transformative</w:t>
      </w:r>
      <w:proofErr w:type="gramEnd"/>
      <w:r>
        <w:t xml:space="preserve"> Student Experience, and Next Generation Partnerships.</w:t>
      </w:r>
      <w:r w:rsidR="008F3E3B">
        <w:t xml:space="preserve"> </w:t>
      </w:r>
    </w:p>
    <w:p w14:paraId="2C428056" w14:textId="77777777" w:rsidR="008F3E3B" w:rsidRDefault="008F3E3B" w:rsidP="008F3E3B">
      <w:pPr>
        <w:pStyle w:val="BodyText"/>
        <w:spacing w:before="153" w:line="259" w:lineRule="auto"/>
        <w:ind w:right="351"/>
      </w:pPr>
    </w:p>
    <w:p w14:paraId="00A04EBB" w14:textId="5F534622" w:rsidR="00F86AB0" w:rsidRDefault="00FB26ED" w:rsidP="008F3E3B">
      <w:pPr>
        <w:pStyle w:val="BodyText"/>
        <w:spacing w:before="153" w:line="259" w:lineRule="auto"/>
        <w:ind w:right="351"/>
      </w:pPr>
      <w:r>
        <w:lastRenderedPageBreak/>
        <w:t>T</w:t>
      </w:r>
      <w:r w:rsidR="008F3E3B">
        <w:t>he University is concerned about inflationary pressures, higher interest rates, and the challenging higher education landscape</w:t>
      </w:r>
      <w:r>
        <w:t>. However, a c</w:t>
      </w:r>
      <w:r w:rsidR="008F3E3B">
        <w:t>areful spending</w:t>
      </w:r>
      <w:r>
        <w:t xml:space="preserve"> plan</w:t>
      </w:r>
      <w:r w:rsidR="008F3E3B">
        <w:t xml:space="preserve">, including measured investments, coupled with increasing philanthropy and revenue diversification ensures that </w:t>
      </w:r>
      <w:r w:rsidR="00F41D2B">
        <w:t>the University will be on solid financial footing for years to come.</w:t>
      </w:r>
    </w:p>
    <w:p w14:paraId="7904792B" w14:textId="77777777" w:rsidR="00F86AB0" w:rsidRDefault="00F41D2B">
      <w:pPr>
        <w:pStyle w:val="BodyText"/>
        <w:spacing w:before="158"/>
        <w:ind w:firstLine="0"/>
        <w:jc w:val="left"/>
      </w:pPr>
      <w:r>
        <w:t>Thank</w:t>
      </w:r>
      <w:r>
        <w:rPr>
          <w:spacing w:val="-7"/>
        </w:rPr>
        <w:t xml:space="preserve"> </w:t>
      </w:r>
      <w:r>
        <w:rPr>
          <w:spacing w:val="-4"/>
        </w:rPr>
        <w:t>you.</w:t>
      </w:r>
    </w:p>
    <w:p w14:paraId="3BA965E3" w14:textId="20B2F311" w:rsidR="00F86AB0" w:rsidRDefault="00F41D2B">
      <w:pPr>
        <w:pStyle w:val="BodyText"/>
        <w:spacing w:before="182"/>
        <w:ind w:firstLine="0"/>
        <w:jc w:val="left"/>
      </w:pPr>
      <w:r>
        <w:t>Matthew</w:t>
      </w:r>
      <w:r>
        <w:rPr>
          <w:spacing w:val="-12"/>
        </w:rPr>
        <w:t xml:space="preserve"> </w:t>
      </w:r>
      <w:r>
        <w:t>Gruber</w:t>
      </w:r>
      <w:r>
        <w:rPr>
          <w:spacing w:val="-7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Senior</w:t>
      </w:r>
      <w:r>
        <w:rPr>
          <w:spacing w:val="-14"/>
        </w:rPr>
        <w:t xml:space="preserve"> </w:t>
      </w:r>
      <w:r>
        <w:t>Vice</w:t>
      </w:r>
      <w:r>
        <w:rPr>
          <w:spacing w:val="-12"/>
        </w:rPr>
        <w:t xml:space="preserve"> </w:t>
      </w:r>
      <w:r>
        <w:t>President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Finance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Administration</w:t>
      </w:r>
      <w:r>
        <w:rPr>
          <w:spacing w:val="-9"/>
        </w:rPr>
        <w:t xml:space="preserve"> </w:t>
      </w:r>
    </w:p>
    <w:sectPr w:rsidR="00F86AB0">
      <w:pgSz w:w="12240" w:h="15840"/>
      <w:pgMar w:top="140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AB0"/>
    <w:rsid w:val="000B5F23"/>
    <w:rsid w:val="001E06FF"/>
    <w:rsid w:val="001E7065"/>
    <w:rsid w:val="002A09DE"/>
    <w:rsid w:val="00355140"/>
    <w:rsid w:val="00466A1B"/>
    <w:rsid w:val="004A7C31"/>
    <w:rsid w:val="00662885"/>
    <w:rsid w:val="00733A98"/>
    <w:rsid w:val="008F3E3B"/>
    <w:rsid w:val="00956705"/>
    <w:rsid w:val="00A514DE"/>
    <w:rsid w:val="00B61524"/>
    <w:rsid w:val="00C22D4B"/>
    <w:rsid w:val="00E34CB4"/>
    <w:rsid w:val="00EA54EC"/>
    <w:rsid w:val="00EA5966"/>
    <w:rsid w:val="00EB432D"/>
    <w:rsid w:val="00F41D2B"/>
    <w:rsid w:val="00F86AB0"/>
    <w:rsid w:val="00FB26ED"/>
    <w:rsid w:val="21BA2091"/>
    <w:rsid w:val="57D0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90BCD"/>
  <w15:docId w15:val="{AED25E5C-7864-4033-95BE-9A0BEF2B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6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62"/>
      <w:ind w:left="360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spacing w:before="157"/>
      <w:ind w:left="358"/>
      <w:outlineLvl w:val="2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3"/>
      <w:ind w:left="360" w:firstLine="719"/>
      <w:jc w:val="both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4A7C31"/>
    <w:pPr>
      <w:widowControl/>
      <w:autoSpaceDE/>
      <w:autoSpaceDN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35514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514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E7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70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7065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065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it.edu/about/strategic-plan" TargetMode="External"/><Relationship Id="rId5" Type="http://schemas.openxmlformats.org/officeDocument/2006/relationships/hyperlink" Target="https://wit.edu/news/alumnus-douglas-d-schumann-64-donates-25-million-name-school-engineerin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2996</Characters>
  <Application>Microsoft Office Word</Application>
  <DocSecurity>0</DocSecurity>
  <Lines>24</Lines>
  <Paragraphs>7</Paragraphs>
  <ScaleCrop>false</ScaleCrop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Totino, Robert</dc:creator>
  <cp:lastModifiedBy>Strauss, Lori</cp:lastModifiedBy>
  <cp:revision>2</cp:revision>
  <dcterms:created xsi:type="dcterms:W3CDTF">2026-02-25T19:53:00Z</dcterms:created>
  <dcterms:modified xsi:type="dcterms:W3CDTF">2026-02-25T19:53:00Z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2026-01-04T00:00:00Z</vt:filetime>
  </property>
  <property fmtid="{D5CDD505-2E9C-101B-9397-08002B2CF9AE}" pid="5" name="Producer">
    <vt:lpwstr>Microsoft® Word for Microsoft 365</vt:lpwstr>
  </property>
</Properties>
</file>