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Segoe UI" w:eastAsiaTheme="majorEastAsia" w:hAnsi="Segoe UI" w:cstheme="majorBidi"/>
          <w:b/>
          <w:spacing w:val="5"/>
          <w:kern w:val="28"/>
          <w:sz w:val="96"/>
          <w:szCs w:val="52"/>
        </w:rPr>
        <w:id w:val="-599947879"/>
        <w:docPartObj>
          <w:docPartGallery w:val="Cover Pages"/>
          <w:docPartUnique/>
        </w:docPartObj>
      </w:sdtPr>
      <w:sdtEndPr>
        <w:rPr>
          <w:rFonts w:ascii="Times New Roman" w:eastAsia="PMingLiU" w:hAnsi="Times New Roman" w:cs="Times New Roman"/>
          <w:b w:val="0"/>
          <w:spacing w:val="0"/>
          <w:kern w:val="0"/>
          <w:sz w:val="24"/>
          <w:szCs w:val="24"/>
        </w:rPr>
      </w:sdtEndPr>
      <w:sdtContent>
        <w:p w14:paraId="7B224065" w14:textId="77777777" w:rsidR="00985308" w:rsidRDefault="00985308" w:rsidP="00985308">
          <w:pPr>
            <w:spacing w:after="960"/>
            <w:jc w:val="center"/>
          </w:pPr>
        </w:p>
        <w:p w14:paraId="6C0D5CBF" w14:textId="56E1144A" w:rsidR="00985308" w:rsidRDefault="00622983" w:rsidP="00985308">
          <w:pPr>
            <w:jc w:val="center"/>
            <w:rPr>
              <w:rFonts w:ascii="Segoe UI" w:eastAsia="Kozuka Gothic Pro H" w:hAnsi="Segoe UI" w:cs="Segoe UI"/>
              <w:b/>
              <w:sz w:val="120"/>
              <w:szCs w:val="120"/>
            </w:rPr>
          </w:pPr>
          <w:r>
            <w:rPr>
              <w:rFonts w:ascii="Segoe UI" w:eastAsia="Kozuka Gothic Pro H" w:hAnsi="Segoe UI" w:cs="Segoe UI"/>
              <w:b/>
              <w:sz w:val="120"/>
              <w:szCs w:val="120"/>
            </w:rPr>
            <w:t xml:space="preserve">   </w:t>
          </w:r>
          <w:r>
            <w:rPr>
              <w:rFonts w:ascii="Segoe UI" w:eastAsia="Kozuka Gothic Pro H" w:hAnsi="Segoe UI" w:cs="Segoe UI"/>
              <w:b/>
              <w:noProof/>
              <w:sz w:val="120"/>
              <w:szCs w:val="120"/>
            </w:rPr>
            <w:drawing>
              <wp:inline distT="0" distB="0" distL="0" distR="0" wp14:anchorId="658A5067" wp14:editId="43034E44">
                <wp:extent cx="3322320" cy="2553265"/>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rotWithShape="1">
                        <a:blip r:embed="rId8">
                          <a:alphaModFix amt="20000"/>
                          <a:extLst>
                            <a:ext uri="{28A0092B-C50C-407E-A947-70E740481C1C}">
                              <a14:useLocalDpi xmlns:a14="http://schemas.microsoft.com/office/drawing/2010/main" val="0"/>
                            </a:ext>
                          </a:extLst>
                        </a:blip>
                        <a:srcRect l="72347" t="4193" r="981" b="18455"/>
                        <a:stretch/>
                      </pic:blipFill>
                      <pic:spPr bwMode="auto">
                        <a:xfrm>
                          <a:off x="0" y="0"/>
                          <a:ext cx="3322320" cy="2553265"/>
                        </a:xfrm>
                        <a:prstGeom prst="rect">
                          <a:avLst/>
                        </a:prstGeom>
                        <a:ln>
                          <a:noFill/>
                        </a:ln>
                        <a:extLst>
                          <a:ext uri="{53640926-AAD7-44D8-BBD7-CCE9431645EC}">
                            <a14:shadowObscured xmlns:a14="http://schemas.microsoft.com/office/drawing/2010/main"/>
                          </a:ext>
                        </a:extLst>
                      </pic:spPr>
                    </pic:pic>
                  </a:graphicData>
                </a:graphic>
              </wp:inline>
            </w:drawing>
          </w:r>
        </w:p>
        <w:p w14:paraId="57AC078B" w14:textId="74191CA2" w:rsidR="00985308" w:rsidRPr="0055089E" w:rsidRDefault="000726C1" w:rsidP="00985308">
          <w:pPr>
            <w:jc w:val="center"/>
            <w:rPr>
              <w:rFonts w:ascii="Segoe UI" w:eastAsia="Kozuka Gothic Pro H" w:hAnsi="Segoe UI" w:cs="Segoe UI"/>
              <w:b/>
              <w:sz w:val="40"/>
              <w:szCs w:val="40"/>
            </w:rPr>
          </w:pPr>
          <w:r>
            <w:rPr>
              <w:rFonts w:ascii="Segoe UI" w:eastAsia="Kozuka Gothic Pro H" w:hAnsi="Segoe UI" w:cs="Segoe UI"/>
              <w:b/>
              <w:sz w:val="40"/>
              <w:szCs w:val="40"/>
            </w:rPr>
            <w:t xml:space="preserve">                                                                                                                                                                                                                                                                                                                                       </w:t>
          </w:r>
        </w:p>
        <w:p w14:paraId="7DAA3895" w14:textId="77777777" w:rsidR="00985308" w:rsidRPr="00D13578" w:rsidRDefault="00985308" w:rsidP="00985308">
          <w:pPr>
            <w:pStyle w:val="Title"/>
            <w:rPr>
              <w:rFonts w:eastAsia="Kozuka Gothic Pro H"/>
              <w:b w:val="0"/>
            </w:rPr>
          </w:pPr>
          <w:r w:rsidRPr="00D13578">
            <w:rPr>
              <w:rFonts w:eastAsia="Kozuka Gothic Pro H"/>
            </w:rPr>
            <w:t>Biennial Review</w:t>
          </w:r>
        </w:p>
        <w:p w14:paraId="0649AB36" w14:textId="77777777" w:rsidR="00985308" w:rsidRPr="00D13578" w:rsidRDefault="00985308" w:rsidP="00985308">
          <w:pPr>
            <w:pStyle w:val="Title"/>
            <w:rPr>
              <w:rFonts w:eastAsia="Kozuka Gothic Pro H"/>
              <w:b w:val="0"/>
              <w:sz w:val="56"/>
            </w:rPr>
          </w:pPr>
          <w:r w:rsidRPr="00D13578">
            <w:rPr>
              <w:rFonts w:eastAsia="Kozuka Gothic Pro H"/>
              <w:sz w:val="56"/>
            </w:rPr>
            <w:t>Alcohol and Other Drug Programs</w:t>
          </w:r>
        </w:p>
        <w:p w14:paraId="5339EC7D" w14:textId="77777777" w:rsidR="00985308" w:rsidRPr="00D13578" w:rsidRDefault="00985308" w:rsidP="00985308">
          <w:pPr>
            <w:pStyle w:val="Title"/>
            <w:rPr>
              <w:rFonts w:eastAsia="Kozuka Gothic Pro H"/>
              <w:b w:val="0"/>
              <w:sz w:val="72"/>
            </w:rPr>
          </w:pPr>
        </w:p>
        <w:p w14:paraId="038A00F3" w14:textId="605329BD" w:rsidR="00835FCF" w:rsidRDefault="00622983" w:rsidP="00835FCF">
          <w:pPr>
            <w:pStyle w:val="Title"/>
          </w:pPr>
          <w:r>
            <w:rPr>
              <w:rFonts w:eastAsia="Kozuka Gothic Pro H"/>
              <w:noProof/>
              <w:sz w:val="160"/>
            </w:rPr>
            <mc:AlternateContent>
              <mc:Choice Requires="wps">
                <w:drawing>
                  <wp:anchor distT="0" distB="0" distL="114300" distR="114300" simplePos="0" relativeHeight="251659264" behindDoc="0" locked="0" layoutInCell="1" allowOverlap="1" wp14:anchorId="24A0B939" wp14:editId="1963D18C">
                    <wp:simplePos x="0" y="0"/>
                    <wp:positionH relativeFrom="column">
                      <wp:posOffset>-76200</wp:posOffset>
                    </wp:positionH>
                    <wp:positionV relativeFrom="paragraph">
                      <wp:posOffset>1226185</wp:posOffset>
                    </wp:positionV>
                    <wp:extent cx="6995160" cy="45720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699516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F7B22" id="Rectangle 25" o:spid="_x0000_s1026" style="position:absolute;margin-left:-6pt;margin-top:96.55pt;width:550.8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" fillcolor="white [3212]" strokecolor="white [3212]" strokeweight="1pt"/>
                </w:pict>
              </mc:Fallback>
            </mc:AlternateContent>
          </w:r>
          <w:r w:rsidR="00985308" w:rsidRPr="00D13578">
            <w:rPr>
              <w:rFonts w:eastAsia="Kozuka Gothic Pro H"/>
              <w:sz w:val="160"/>
            </w:rPr>
            <w:t>20</w:t>
          </w:r>
          <w:r w:rsidR="00985308">
            <w:rPr>
              <w:rFonts w:eastAsia="Kozuka Gothic Pro H"/>
              <w:sz w:val="160"/>
            </w:rPr>
            <w:t>20</w:t>
          </w:r>
          <w:r w:rsidR="00985308" w:rsidRPr="00D13578">
            <w:br w:type="page"/>
          </w:r>
        </w:p>
        <w:p w14:paraId="70326840" w14:textId="7A2BF604" w:rsidR="00985308" w:rsidRPr="00835FCF" w:rsidRDefault="00B9592C" w:rsidP="00835FCF"/>
      </w:sdtContent>
    </w:sdt>
    <w:sdt>
      <w:sdtPr>
        <w:rPr>
          <w:rFonts w:eastAsia="PMingLiU" w:cs="Times New Roman"/>
          <w:b w:val="0"/>
          <w:bCs w:val="0"/>
          <w:sz w:val="24"/>
          <w:szCs w:val="24"/>
          <w:u w:val="none"/>
          <w:lang w:eastAsia="zh-TW"/>
        </w:rPr>
        <w:id w:val="-777173473"/>
        <w:docPartObj>
          <w:docPartGallery w:val="Table of Contents"/>
          <w:docPartUnique/>
        </w:docPartObj>
      </w:sdtPr>
      <w:sdtEndPr>
        <w:rPr>
          <w:noProof/>
        </w:rPr>
      </w:sdtEndPr>
      <w:sdtContent>
        <w:p w14:paraId="2931697E" w14:textId="521ACA7E" w:rsidR="006A7109" w:rsidRDefault="006A7109">
          <w:pPr>
            <w:pStyle w:val="TOCHeading"/>
          </w:pPr>
          <w:r>
            <w:t>Table of Contents</w:t>
          </w:r>
        </w:p>
        <w:p w14:paraId="401A5DCE" w14:textId="192851AF" w:rsidR="006A7109" w:rsidRPr="006A7109" w:rsidRDefault="006A7109">
          <w:pPr>
            <w:pStyle w:val="TOC1"/>
            <w:tabs>
              <w:tab w:val="right" w:leader="dot" w:pos="10790"/>
            </w:tabs>
            <w:rPr>
              <w:rFonts w:asciiTheme="minorHAnsi" w:eastAsiaTheme="minorEastAsia" w:hAnsiTheme="minorHAnsi" w:cstheme="minorBidi"/>
              <w:noProof/>
              <w:sz w:val="22"/>
              <w:szCs w:val="22"/>
              <w:lang w:eastAsia="en-US"/>
            </w:rPr>
          </w:pPr>
          <w:r w:rsidRPr="006A7109">
            <w:fldChar w:fldCharType="begin"/>
          </w:r>
          <w:r w:rsidRPr="006A7109">
            <w:instrText xml:space="preserve"> TOC \o "1-3" \h \z \u </w:instrText>
          </w:r>
          <w:r w:rsidRPr="006A7109">
            <w:fldChar w:fldCharType="separate"/>
          </w:r>
          <w:hyperlink w:anchor="_Toc59379451" w:history="1">
            <w:r w:rsidRPr="006A7109">
              <w:rPr>
                <w:rStyle w:val="Hyperlink"/>
                <w:noProof/>
              </w:rPr>
              <w:t>Statement on Compliance</w:t>
            </w:r>
            <w:r w:rsidRPr="006A7109">
              <w:rPr>
                <w:noProof/>
                <w:webHidden/>
              </w:rPr>
              <w:tab/>
            </w:r>
            <w:r w:rsidRPr="006A7109">
              <w:rPr>
                <w:noProof/>
                <w:webHidden/>
              </w:rPr>
              <w:fldChar w:fldCharType="begin"/>
            </w:r>
            <w:r w:rsidRPr="006A7109">
              <w:rPr>
                <w:noProof/>
                <w:webHidden/>
              </w:rPr>
              <w:instrText xml:space="preserve"> PAGEREF _Toc59379451 \h </w:instrText>
            </w:r>
            <w:r w:rsidRPr="006A7109">
              <w:rPr>
                <w:noProof/>
                <w:webHidden/>
              </w:rPr>
            </w:r>
            <w:r w:rsidRPr="006A7109">
              <w:rPr>
                <w:noProof/>
                <w:webHidden/>
              </w:rPr>
              <w:fldChar w:fldCharType="separate"/>
            </w:r>
            <w:r w:rsidRPr="006A7109">
              <w:rPr>
                <w:noProof/>
                <w:webHidden/>
              </w:rPr>
              <w:t>1</w:t>
            </w:r>
            <w:r w:rsidRPr="006A7109">
              <w:rPr>
                <w:noProof/>
                <w:webHidden/>
              </w:rPr>
              <w:fldChar w:fldCharType="end"/>
            </w:r>
          </w:hyperlink>
        </w:p>
        <w:p w14:paraId="4E8D8ABE" w14:textId="41596B8A"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52" w:history="1">
            <w:r w:rsidR="006A7109" w:rsidRPr="006A7109">
              <w:rPr>
                <w:rStyle w:val="Hyperlink"/>
                <w:noProof/>
              </w:rPr>
              <w:t>Description of the AOD program elements</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_Toc59379452 \h </w:instrText>
            </w:r>
            <w:r w:rsidR="006A7109" w:rsidRPr="006A7109">
              <w:rPr>
                <w:noProof/>
                <w:webHidden/>
              </w:rPr>
            </w:r>
            <w:r w:rsidR="006A7109" w:rsidRPr="006A7109">
              <w:rPr>
                <w:noProof/>
                <w:webHidden/>
              </w:rPr>
              <w:fldChar w:fldCharType="separate"/>
            </w:r>
            <w:r w:rsidR="006A7109" w:rsidRPr="006A7109">
              <w:rPr>
                <w:noProof/>
                <w:webHidden/>
              </w:rPr>
              <w:t>2</w:t>
            </w:r>
            <w:r w:rsidR="006A7109" w:rsidRPr="006A7109">
              <w:rPr>
                <w:noProof/>
                <w:webHidden/>
              </w:rPr>
              <w:fldChar w:fldCharType="end"/>
            </w:r>
          </w:hyperlink>
        </w:p>
        <w:p w14:paraId="27106BDF" w14:textId="55F2E4F9"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53" w:history="1">
            <w:r w:rsidR="006A7109" w:rsidRPr="006A7109">
              <w:rPr>
                <w:rStyle w:val="Hyperlink"/>
                <w:noProof/>
              </w:rPr>
              <w:t>Statement of AOD program goals and goal achievement</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_Toc59379453 \h </w:instrText>
            </w:r>
            <w:r w:rsidR="006A7109" w:rsidRPr="006A7109">
              <w:rPr>
                <w:noProof/>
                <w:webHidden/>
              </w:rPr>
            </w:r>
            <w:r w:rsidR="006A7109" w:rsidRPr="006A7109">
              <w:rPr>
                <w:noProof/>
                <w:webHidden/>
              </w:rPr>
              <w:fldChar w:fldCharType="separate"/>
            </w:r>
            <w:r w:rsidR="006A7109" w:rsidRPr="006A7109">
              <w:rPr>
                <w:noProof/>
                <w:webHidden/>
              </w:rPr>
              <w:t>4</w:t>
            </w:r>
            <w:r w:rsidR="006A7109" w:rsidRPr="006A7109">
              <w:rPr>
                <w:noProof/>
                <w:webHidden/>
              </w:rPr>
              <w:fldChar w:fldCharType="end"/>
            </w:r>
          </w:hyperlink>
        </w:p>
        <w:p w14:paraId="78E8D483" w14:textId="62C3F631"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55" w:history="1">
            <w:r w:rsidR="006A7109" w:rsidRPr="006A7109">
              <w:rPr>
                <w:rStyle w:val="Hyperlink"/>
                <w:noProof/>
              </w:rPr>
              <w:t>Procedures for Distributing annual AOD notifications to students and employees</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_Toc59379455 \h </w:instrText>
            </w:r>
            <w:r w:rsidR="006A7109" w:rsidRPr="006A7109">
              <w:rPr>
                <w:noProof/>
                <w:webHidden/>
              </w:rPr>
            </w:r>
            <w:r w:rsidR="006A7109" w:rsidRPr="006A7109">
              <w:rPr>
                <w:noProof/>
                <w:webHidden/>
              </w:rPr>
              <w:fldChar w:fldCharType="separate"/>
            </w:r>
            <w:r w:rsidR="006A7109" w:rsidRPr="006A7109">
              <w:rPr>
                <w:noProof/>
                <w:webHidden/>
              </w:rPr>
              <w:t>8</w:t>
            </w:r>
            <w:r w:rsidR="006A7109" w:rsidRPr="006A7109">
              <w:rPr>
                <w:noProof/>
                <w:webHidden/>
              </w:rPr>
              <w:fldChar w:fldCharType="end"/>
            </w:r>
          </w:hyperlink>
        </w:p>
        <w:p w14:paraId="172D9396" w14:textId="7E38CA65"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56" w:history="1">
            <w:r w:rsidR="006A7109" w:rsidRPr="006A7109">
              <w:rPr>
                <w:rStyle w:val="Hyperlink"/>
                <w:noProof/>
              </w:rPr>
              <w:t>Copies of the Polies Distributed to students and employees</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_Toc59379456 \h </w:instrText>
            </w:r>
            <w:r w:rsidR="006A7109" w:rsidRPr="006A7109">
              <w:rPr>
                <w:noProof/>
                <w:webHidden/>
              </w:rPr>
            </w:r>
            <w:r w:rsidR="006A7109" w:rsidRPr="006A7109">
              <w:rPr>
                <w:noProof/>
                <w:webHidden/>
              </w:rPr>
              <w:fldChar w:fldCharType="separate"/>
            </w:r>
            <w:r w:rsidR="006A7109" w:rsidRPr="006A7109">
              <w:rPr>
                <w:noProof/>
                <w:webHidden/>
              </w:rPr>
              <w:t>8</w:t>
            </w:r>
            <w:r w:rsidR="006A7109" w:rsidRPr="006A7109">
              <w:rPr>
                <w:noProof/>
                <w:webHidden/>
              </w:rPr>
              <w:fldChar w:fldCharType="end"/>
            </w:r>
          </w:hyperlink>
        </w:p>
        <w:p w14:paraId="4A83ADD8" w14:textId="7D1738B4"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57" w:history="1">
            <w:r w:rsidR="006A7109" w:rsidRPr="006A7109">
              <w:rPr>
                <w:rStyle w:val="Hyperlink"/>
                <w:noProof/>
              </w:rPr>
              <w:t>Specific Policies in place</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_Toc59379457 \h </w:instrText>
            </w:r>
            <w:r w:rsidR="006A7109" w:rsidRPr="006A7109">
              <w:rPr>
                <w:noProof/>
                <w:webHidden/>
              </w:rPr>
            </w:r>
            <w:r w:rsidR="006A7109" w:rsidRPr="006A7109">
              <w:rPr>
                <w:noProof/>
                <w:webHidden/>
              </w:rPr>
              <w:fldChar w:fldCharType="separate"/>
            </w:r>
            <w:r w:rsidR="006A7109" w:rsidRPr="006A7109">
              <w:rPr>
                <w:noProof/>
                <w:webHidden/>
              </w:rPr>
              <w:t>8</w:t>
            </w:r>
            <w:r w:rsidR="006A7109" w:rsidRPr="006A7109">
              <w:rPr>
                <w:noProof/>
                <w:webHidden/>
              </w:rPr>
              <w:fldChar w:fldCharType="end"/>
            </w:r>
          </w:hyperlink>
        </w:p>
        <w:p w14:paraId="4680E7C3" w14:textId="68C6174E" w:rsidR="006A7109" w:rsidRPr="006A7109" w:rsidRDefault="00B9592C">
          <w:pPr>
            <w:pStyle w:val="TOC3"/>
            <w:tabs>
              <w:tab w:val="right" w:leader="dot" w:pos="10790"/>
            </w:tabs>
            <w:rPr>
              <w:rFonts w:asciiTheme="minorHAnsi" w:eastAsiaTheme="minorEastAsia" w:hAnsiTheme="minorHAnsi" w:cstheme="minorBidi"/>
              <w:noProof/>
              <w:sz w:val="22"/>
              <w:szCs w:val="22"/>
              <w:lang w:eastAsia="en-US"/>
            </w:rPr>
          </w:pPr>
          <w:hyperlink w:anchor="_Toc59379460" w:history="1">
            <w:r w:rsidR="006A7109" w:rsidRPr="006A7109">
              <w:rPr>
                <w:rStyle w:val="Hyperlink"/>
                <w:noProof/>
              </w:rPr>
              <w:t>Alcohol:</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_Toc59379460 \h </w:instrText>
            </w:r>
            <w:r w:rsidR="006A7109" w:rsidRPr="006A7109">
              <w:rPr>
                <w:noProof/>
                <w:webHidden/>
              </w:rPr>
            </w:r>
            <w:r w:rsidR="006A7109" w:rsidRPr="006A7109">
              <w:rPr>
                <w:noProof/>
                <w:webHidden/>
              </w:rPr>
              <w:fldChar w:fldCharType="separate"/>
            </w:r>
            <w:r w:rsidR="006A7109" w:rsidRPr="006A7109">
              <w:rPr>
                <w:noProof/>
                <w:webHidden/>
              </w:rPr>
              <w:t>8</w:t>
            </w:r>
            <w:r w:rsidR="006A7109" w:rsidRPr="006A7109">
              <w:rPr>
                <w:noProof/>
                <w:webHidden/>
              </w:rPr>
              <w:fldChar w:fldCharType="end"/>
            </w:r>
          </w:hyperlink>
        </w:p>
        <w:p w14:paraId="5A4803AC" w14:textId="241C33A8" w:rsidR="006A7109" w:rsidRPr="006A7109" w:rsidRDefault="00B9592C">
          <w:pPr>
            <w:pStyle w:val="TOC3"/>
            <w:tabs>
              <w:tab w:val="right" w:leader="dot" w:pos="10790"/>
            </w:tabs>
            <w:rPr>
              <w:rFonts w:asciiTheme="minorHAnsi" w:eastAsiaTheme="minorEastAsia" w:hAnsiTheme="minorHAnsi" w:cstheme="minorBidi"/>
              <w:noProof/>
              <w:sz w:val="22"/>
              <w:szCs w:val="22"/>
              <w:lang w:eastAsia="en-US"/>
            </w:rPr>
          </w:pPr>
          <w:hyperlink w:anchor="_Toc59379461" w:history="1">
            <w:r w:rsidR="006A7109" w:rsidRPr="006A7109">
              <w:rPr>
                <w:rStyle w:val="Hyperlink"/>
                <w:noProof/>
              </w:rPr>
              <w:t>Illegal and Controlled Substances and Prescription Drugs:</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_Toc59379461 \h </w:instrText>
            </w:r>
            <w:r w:rsidR="006A7109" w:rsidRPr="006A7109">
              <w:rPr>
                <w:noProof/>
                <w:webHidden/>
              </w:rPr>
            </w:r>
            <w:r w:rsidR="006A7109" w:rsidRPr="006A7109">
              <w:rPr>
                <w:noProof/>
                <w:webHidden/>
              </w:rPr>
              <w:fldChar w:fldCharType="separate"/>
            </w:r>
            <w:r w:rsidR="006A7109" w:rsidRPr="006A7109">
              <w:rPr>
                <w:noProof/>
                <w:webHidden/>
              </w:rPr>
              <w:t>9</w:t>
            </w:r>
            <w:r w:rsidR="006A7109" w:rsidRPr="006A7109">
              <w:rPr>
                <w:noProof/>
                <w:webHidden/>
              </w:rPr>
              <w:fldChar w:fldCharType="end"/>
            </w:r>
          </w:hyperlink>
        </w:p>
        <w:p w14:paraId="17C1C38A" w14:textId="752B784D" w:rsidR="006A7109" w:rsidRPr="006A7109" w:rsidRDefault="00B9592C">
          <w:pPr>
            <w:pStyle w:val="TOC3"/>
            <w:tabs>
              <w:tab w:val="right" w:leader="dot" w:pos="10790"/>
            </w:tabs>
            <w:rPr>
              <w:rFonts w:asciiTheme="minorHAnsi" w:eastAsiaTheme="minorEastAsia" w:hAnsiTheme="minorHAnsi" w:cstheme="minorBidi"/>
              <w:noProof/>
              <w:sz w:val="22"/>
              <w:szCs w:val="22"/>
              <w:lang w:eastAsia="en-US"/>
            </w:rPr>
          </w:pPr>
          <w:hyperlink w:anchor="_Toc59379462" w:history="1">
            <w:r w:rsidR="006A7109" w:rsidRPr="006A7109">
              <w:rPr>
                <w:rStyle w:val="Hyperlink"/>
                <w:noProof/>
              </w:rPr>
              <w:t>Smoking and Tobacco:</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_Toc59379462 \h </w:instrText>
            </w:r>
            <w:r w:rsidR="006A7109" w:rsidRPr="006A7109">
              <w:rPr>
                <w:noProof/>
                <w:webHidden/>
              </w:rPr>
            </w:r>
            <w:r w:rsidR="006A7109" w:rsidRPr="006A7109">
              <w:rPr>
                <w:noProof/>
                <w:webHidden/>
              </w:rPr>
              <w:fldChar w:fldCharType="separate"/>
            </w:r>
            <w:r w:rsidR="006A7109" w:rsidRPr="006A7109">
              <w:rPr>
                <w:noProof/>
                <w:webHidden/>
              </w:rPr>
              <w:t>10</w:t>
            </w:r>
            <w:r w:rsidR="006A7109" w:rsidRPr="006A7109">
              <w:rPr>
                <w:noProof/>
                <w:webHidden/>
              </w:rPr>
              <w:fldChar w:fldCharType="end"/>
            </w:r>
          </w:hyperlink>
        </w:p>
        <w:p w14:paraId="7F7747BE" w14:textId="4A630618" w:rsidR="006A7109" w:rsidRPr="006A7109" w:rsidRDefault="00B9592C">
          <w:pPr>
            <w:pStyle w:val="TOC3"/>
            <w:tabs>
              <w:tab w:val="right" w:leader="dot" w:pos="10790"/>
            </w:tabs>
            <w:rPr>
              <w:rFonts w:asciiTheme="minorHAnsi" w:eastAsiaTheme="minorEastAsia" w:hAnsiTheme="minorHAnsi" w:cstheme="minorBidi"/>
              <w:noProof/>
              <w:sz w:val="22"/>
              <w:szCs w:val="22"/>
              <w:lang w:eastAsia="en-US"/>
            </w:rPr>
          </w:pPr>
          <w:hyperlink w:anchor="_Toc59379463" w:history="1">
            <w:r w:rsidR="006A7109" w:rsidRPr="006A7109">
              <w:rPr>
                <w:rStyle w:val="Hyperlink"/>
                <w:noProof/>
              </w:rPr>
              <w:t>Good Samaritan Policy:</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_Toc59379463 \h </w:instrText>
            </w:r>
            <w:r w:rsidR="006A7109" w:rsidRPr="006A7109">
              <w:rPr>
                <w:noProof/>
                <w:webHidden/>
              </w:rPr>
            </w:r>
            <w:r w:rsidR="006A7109" w:rsidRPr="006A7109">
              <w:rPr>
                <w:noProof/>
                <w:webHidden/>
              </w:rPr>
              <w:fldChar w:fldCharType="separate"/>
            </w:r>
            <w:r w:rsidR="006A7109" w:rsidRPr="006A7109">
              <w:rPr>
                <w:noProof/>
                <w:webHidden/>
              </w:rPr>
              <w:t>10</w:t>
            </w:r>
            <w:r w:rsidR="006A7109" w:rsidRPr="006A7109">
              <w:rPr>
                <w:noProof/>
                <w:webHidden/>
              </w:rPr>
              <w:fldChar w:fldCharType="end"/>
            </w:r>
          </w:hyperlink>
        </w:p>
        <w:p w14:paraId="1E083039" w14:textId="78BB7A47"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64" w:history="1">
            <w:r w:rsidR="006A7109" w:rsidRPr="006A7109">
              <w:rPr>
                <w:rStyle w:val="Hyperlink"/>
                <w:rFonts w:eastAsia="Times New Roman"/>
                <w:noProof/>
                <w:lang w:eastAsia="en-US"/>
              </w:rPr>
              <w:t>Violations</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_Toc59379464 \h </w:instrText>
            </w:r>
            <w:r w:rsidR="006A7109" w:rsidRPr="006A7109">
              <w:rPr>
                <w:noProof/>
                <w:webHidden/>
              </w:rPr>
            </w:r>
            <w:r w:rsidR="006A7109" w:rsidRPr="006A7109">
              <w:rPr>
                <w:noProof/>
                <w:webHidden/>
              </w:rPr>
              <w:fldChar w:fldCharType="separate"/>
            </w:r>
            <w:r w:rsidR="006A7109" w:rsidRPr="006A7109">
              <w:rPr>
                <w:noProof/>
                <w:webHidden/>
              </w:rPr>
              <w:t>11</w:t>
            </w:r>
            <w:r w:rsidR="006A7109" w:rsidRPr="006A7109">
              <w:rPr>
                <w:noProof/>
                <w:webHidden/>
              </w:rPr>
              <w:fldChar w:fldCharType="end"/>
            </w:r>
          </w:hyperlink>
        </w:p>
        <w:p w14:paraId="3B2EB946" w14:textId="2EBB5BE9"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65" w:history="1">
            <w:r w:rsidR="006A7109" w:rsidRPr="006A7109">
              <w:rPr>
                <w:rStyle w:val="Hyperlink"/>
                <w:noProof/>
              </w:rPr>
              <w:t>Implementation of Policy</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_Toc59379465 \h </w:instrText>
            </w:r>
            <w:r w:rsidR="006A7109" w:rsidRPr="006A7109">
              <w:rPr>
                <w:noProof/>
                <w:webHidden/>
              </w:rPr>
            </w:r>
            <w:r w:rsidR="006A7109" w:rsidRPr="006A7109">
              <w:rPr>
                <w:noProof/>
                <w:webHidden/>
              </w:rPr>
              <w:fldChar w:fldCharType="separate"/>
            </w:r>
            <w:r w:rsidR="006A7109" w:rsidRPr="006A7109">
              <w:rPr>
                <w:noProof/>
                <w:webHidden/>
              </w:rPr>
              <w:t>12</w:t>
            </w:r>
            <w:r w:rsidR="006A7109" w:rsidRPr="006A7109">
              <w:rPr>
                <w:noProof/>
                <w:webHidden/>
              </w:rPr>
              <w:fldChar w:fldCharType="end"/>
            </w:r>
          </w:hyperlink>
        </w:p>
        <w:p w14:paraId="64DA3A98" w14:textId="0AD2F1D7"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67" w:history="1">
            <w:r w:rsidR="006A7109" w:rsidRPr="006A7109">
              <w:rPr>
                <w:rStyle w:val="Hyperlink"/>
                <w:noProof/>
              </w:rPr>
              <w:t>Summaries of the AOD program strengths and weaknesses</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_Toc59379467 \h </w:instrText>
            </w:r>
            <w:r w:rsidR="006A7109" w:rsidRPr="006A7109">
              <w:rPr>
                <w:noProof/>
                <w:webHidden/>
              </w:rPr>
            </w:r>
            <w:r w:rsidR="006A7109" w:rsidRPr="006A7109">
              <w:rPr>
                <w:noProof/>
                <w:webHidden/>
              </w:rPr>
              <w:fldChar w:fldCharType="separate"/>
            </w:r>
            <w:r w:rsidR="006A7109" w:rsidRPr="006A7109">
              <w:rPr>
                <w:noProof/>
                <w:webHidden/>
              </w:rPr>
              <w:t>14</w:t>
            </w:r>
            <w:r w:rsidR="006A7109" w:rsidRPr="006A7109">
              <w:rPr>
                <w:noProof/>
                <w:webHidden/>
              </w:rPr>
              <w:fldChar w:fldCharType="end"/>
            </w:r>
          </w:hyperlink>
        </w:p>
        <w:p w14:paraId="1D8E68AC" w14:textId="6F5961AA"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70" w:history="1">
            <w:r w:rsidR="006A7109" w:rsidRPr="006A7109">
              <w:rPr>
                <w:rStyle w:val="Hyperlink"/>
                <w:noProof/>
              </w:rPr>
              <w:t>Recommendations for revising AOD programs</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_Toc59379470 \h </w:instrText>
            </w:r>
            <w:r w:rsidR="006A7109" w:rsidRPr="006A7109">
              <w:rPr>
                <w:noProof/>
                <w:webHidden/>
              </w:rPr>
            </w:r>
            <w:r w:rsidR="006A7109" w:rsidRPr="006A7109">
              <w:rPr>
                <w:noProof/>
                <w:webHidden/>
              </w:rPr>
              <w:fldChar w:fldCharType="separate"/>
            </w:r>
            <w:r w:rsidR="006A7109" w:rsidRPr="006A7109">
              <w:rPr>
                <w:noProof/>
                <w:webHidden/>
              </w:rPr>
              <w:t>14</w:t>
            </w:r>
            <w:r w:rsidR="006A7109" w:rsidRPr="006A7109">
              <w:rPr>
                <w:noProof/>
                <w:webHidden/>
              </w:rPr>
              <w:fldChar w:fldCharType="end"/>
            </w:r>
          </w:hyperlink>
        </w:p>
        <w:p w14:paraId="7B5251B1" w14:textId="2095A638" w:rsidR="006A7109" w:rsidRPr="006A7109" w:rsidRDefault="00B9592C">
          <w:pPr>
            <w:pStyle w:val="TOC1"/>
            <w:tabs>
              <w:tab w:val="right" w:leader="dot" w:pos="10790"/>
            </w:tabs>
            <w:rPr>
              <w:rFonts w:asciiTheme="minorHAnsi" w:eastAsiaTheme="minorEastAsia" w:hAnsiTheme="minorHAnsi" w:cstheme="minorBidi"/>
              <w:noProof/>
              <w:sz w:val="22"/>
              <w:szCs w:val="22"/>
              <w:lang w:eastAsia="en-US"/>
            </w:rPr>
          </w:pPr>
          <w:hyperlink w:anchor="_Toc59379471" w:history="1">
            <w:r w:rsidR="006A7109" w:rsidRPr="006A7109">
              <w:rPr>
                <w:rStyle w:val="Hyperlink"/>
                <w:noProof/>
              </w:rPr>
              <w:t>AOD Resources</w:t>
            </w:r>
            <w:r w:rsidR="006A7109" w:rsidRPr="006A7109">
              <w:rPr>
                <w:noProof/>
                <w:webHidden/>
              </w:rPr>
              <w:tab/>
            </w:r>
            <w:r w:rsidR="006A7109" w:rsidRPr="006A7109">
              <w:rPr>
                <w:noProof/>
                <w:webHidden/>
              </w:rPr>
              <w:fldChar w:fldCharType="begin"/>
            </w:r>
            <w:r w:rsidR="006A7109" w:rsidRPr="006A7109">
              <w:rPr>
                <w:noProof/>
                <w:webHidden/>
              </w:rPr>
              <w:instrText xml:space="preserve"> PAGEREF _Toc59379471 \h </w:instrText>
            </w:r>
            <w:r w:rsidR="006A7109" w:rsidRPr="006A7109">
              <w:rPr>
                <w:noProof/>
                <w:webHidden/>
              </w:rPr>
            </w:r>
            <w:r w:rsidR="006A7109" w:rsidRPr="006A7109">
              <w:rPr>
                <w:noProof/>
                <w:webHidden/>
              </w:rPr>
              <w:fldChar w:fldCharType="separate"/>
            </w:r>
            <w:r w:rsidR="006A7109" w:rsidRPr="006A7109">
              <w:rPr>
                <w:noProof/>
                <w:webHidden/>
              </w:rPr>
              <w:t>15</w:t>
            </w:r>
            <w:r w:rsidR="006A7109" w:rsidRPr="006A7109">
              <w:rPr>
                <w:noProof/>
                <w:webHidden/>
              </w:rPr>
              <w:fldChar w:fldCharType="end"/>
            </w:r>
          </w:hyperlink>
        </w:p>
        <w:p w14:paraId="67A8CE2E" w14:textId="1CAC7FFD" w:rsidR="006A7109" w:rsidRDefault="006A7109">
          <w:r w:rsidRPr="006A7109">
            <w:rPr>
              <w:b/>
              <w:bCs/>
              <w:noProof/>
            </w:rPr>
            <w:fldChar w:fldCharType="end"/>
          </w:r>
        </w:p>
      </w:sdtContent>
    </w:sdt>
    <w:p w14:paraId="136BCFD7" w14:textId="77777777" w:rsidR="006A7109" w:rsidRDefault="006A7109" w:rsidP="00985308">
      <w:pPr>
        <w:pStyle w:val="Heading1"/>
      </w:pPr>
      <w:bookmarkStart w:id="0" w:name="_Toc59379451"/>
    </w:p>
    <w:p w14:paraId="6F92577E" w14:textId="77777777" w:rsidR="006A7109" w:rsidRDefault="006A7109" w:rsidP="00985308">
      <w:pPr>
        <w:pStyle w:val="Heading1"/>
      </w:pPr>
    </w:p>
    <w:p w14:paraId="3F036C7F" w14:textId="77777777" w:rsidR="006A7109" w:rsidRDefault="006A7109" w:rsidP="00985308">
      <w:pPr>
        <w:pStyle w:val="Heading1"/>
      </w:pPr>
    </w:p>
    <w:p w14:paraId="43348D0A" w14:textId="77777777" w:rsidR="006A7109" w:rsidRDefault="006A7109" w:rsidP="00985308">
      <w:pPr>
        <w:pStyle w:val="Heading1"/>
      </w:pPr>
    </w:p>
    <w:p w14:paraId="532671C2" w14:textId="1F0F2F4E" w:rsidR="006A7109" w:rsidRDefault="006A7109" w:rsidP="006A7109">
      <w:pPr>
        <w:pStyle w:val="Heading1"/>
        <w:spacing w:before="0"/>
      </w:pPr>
    </w:p>
    <w:p w14:paraId="2BD4EBA7" w14:textId="3D7822CB" w:rsidR="006A7109" w:rsidRDefault="006A7109" w:rsidP="00985308">
      <w:pPr>
        <w:pStyle w:val="Heading1"/>
      </w:pPr>
    </w:p>
    <w:p w14:paraId="44DB9386" w14:textId="77777777" w:rsidR="006A7109" w:rsidRPr="006A7109" w:rsidRDefault="006A7109" w:rsidP="006A7109"/>
    <w:p w14:paraId="278B1E1E" w14:textId="36B743FD" w:rsidR="006A7109" w:rsidRDefault="006A7109" w:rsidP="006A7109">
      <w:pPr>
        <w:pStyle w:val="Heading1"/>
        <w:spacing w:before="0"/>
      </w:pPr>
    </w:p>
    <w:p w14:paraId="2FB7FF40" w14:textId="77777777" w:rsidR="006A7109" w:rsidRPr="006A7109" w:rsidRDefault="006A7109" w:rsidP="006A7109"/>
    <w:p w14:paraId="3A5B75B0" w14:textId="2A4B5867" w:rsidR="00985308" w:rsidRPr="00230AE5" w:rsidRDefault="00985308" w:rsidP="00985308">
      <w:pPr>
        <w:pStyle w:val="Heading1"/>
      </w:pPr>
      <w:r w:rsidRPr="00230AE5">
        <w:lastRenderedPageBreak/>
        <w:t>Statement on Compliance</w:t>
      </w:r>
      <w:bookmarkEnd w:id="0"/>
      <w:r w:rsidRPr="00230AE5">
        <w:t xml:space="preserve"> </w:t>
      </w:r>
    </w:p>
    <w:p w14:paraId="61BEB2D5" w14:textId="77777777" w:rsidR="00985308" w:rsidRDefault="00985308" w:rsidP="00985308"/>
    <w:p w14:paraId="6BDF83AC" w14:textId="35C48185" w:rsidR="00985308" w:rsidRPr="00FE6FB9" w:rsidRDefault="00985308" w:rsidP="00985308">
      <w:r w:rsidRPr="00FE6FB9">
        <w:t xml:space="preserve">In compliance with federal legislation, the </w:t>
      </w:r>
      <w:r w:rsidR="006052CE">
        <w:t xml:space="preserve">Assistant Director of Health Promotion and Education </w:t>
      </w:r>
      <w:r w:rsidRPr="00FE6FB9">
        <w:t xml:space="preserve">at </w:t>
      </w:r>
      <w:r>
        <w:t xml:space="preserve">the </w:t>
      </w:r>
      <w:r w:rsidRPr="00FE6FB9">
        <w:t>Wentworth Institute of Technology has prepared this biennial review with a twofold purpose:</w:t>
      </w:r>
    </w:p>
    <w:p w14:paraId="78CB45B5" w14:textId="77777777" w:rsidR="00985308" w:rsidRPr="00FE6FB9" w:rsidRDefault="00985308" w:rsidP="00985308"/>
    <w:p w14:paraId="293E2412" w14:textId="77777777" w:rsidR="00985308" w:rsidRPr="00FE6FB9" w:rsidRDefault="00985308" w:rsidP="00985308">
      <w:pPr>
        <w:numPr>
          <w:ilvl w:val="0"/>
          <w:numId w:val="1"/>
        </w:numPr>
        <w:tabs>
          <w:tab w:val="clear" w:pos="720"/>
        </w:tabs>
        <w:ind w:left="360"/>
      </w:pPr>
      <w:r w:rsidRPr="00FE6FB9">
        <w:t xml:space="preserve">To determine the effectiveness of, and to implement any needed changes to, the Alcohol and other Drugs (AOD) program. </w:t>
      </w:r>
    </w:p>
    <w:p w14:paraId="4FFA8EFE" w14:textId="77777777" w:rsidR="00985308" w:rsidRPr="00FE6FB9" w:rsidRDefault="00985308" w:rsidP="00985308"/>
    <w:p w14:paraId="5A4C98EA" w14:textId="77777777" w:rsidR="00985308" w:rsidRDefault="00985308" w:rsidP="00985308">
      <w:pPr>
        <w:numPr>
          <w:ilvl w:val="0"/>
          <w:numId w:val="1"/>
        </w:numPr>
        <w:tabs>
          <w:tab w:val="clear" w:pos="720"/>
        </w:tabs>
        <w:ind w:left="360"/>
      </w:pPr>
      <w:r w:rsidRPr="00FE6FB9">
        <w:t>To ensure that the disciplinary sanctions for violating standards of conduct are enforced consistently and effectively.</w:t>
      </w:r>
    </w:p>
    <w:p w14:paraId="47931F66" w14:textId="77777777" w:rsidR="00985308" w:rsidRPr="00230AE5" w:rsidRDefault="00985308" w:rsidP="00985308">
      <w:pPr>
        <w:pStyle w:val="Heading1"/>
      </w:pPr>
      <w:bookmarkStart w:id="1" w:name="_Toc59379452"/>
      <w:bookmarkStart w:id="2" w:name="_Description_of_the"/>
      <w:bookmarkEnd w:id="2"/>
      <w:r w:rsidRPr="001353D8">
        <w:t>Description of the AOD program elements</w:t>
      </w:r>
      <w:bookmarkEnd w:id="1"/>
      <w:r w:rsidRPr="00230AE5">
        <w:t xml:space="preserve"> </w:t>
      </w:r>
    </w:p>
    <w:p w14:paraId="72287673" w14:textId="77777777" w:rsidR="00985308" w:rsidRDefault="00985308" w:rsidP="00985308">
      <w:pPr>
        <w:rPr>
          <w:sz w:val="40"/>
          <w:szCs w:val="40"/>
        </w:rPr>
      </w:pPr>
    </w:p>
    <w:p w14:paraId="15551749" w14:textId="765B619F" w:rsidR="00985308" w:rsidRDefault="00985308" w:rsidP="00985308">
      <w:r w:rsidRPr="00FE6FB9">
        <w:t>Alcohol</w:t>
      </w:r>
      <w:r>
        <w:t xml:space="preserve"> and drug</w:t>
      </w:r>
      <w:r w:rsidRPr="00FE6FB9">
        <w:t xml:space="preserve"> prevention </w:t>
      </w:r>
      <w:r>
        <w:t xml:space="preserve">large-scale programming </w:t>
      </w:r>
      <w:r w:rsidRPr="00FE6FB9">
        <w:t xml:space="preserve">efforts </w:t>
      </w:r>
      <w:r>
        <w:t xml:space="preserve">are planned throughout several pivotal times of the year </w:t>
      </w:r>
      <w:r w:rsidR="003C5C77">
        <w:t>including</w:t>
      </w:r>
      <w:r>
        <w:t xml:space="preserve"> opening weekend, high-risk weekends, and events on campus indicated from collaborative programming. </w:t>
      </w:r>
    </w:p>
    <w:p w14:paraId="7C6B0895" w14:textId="77777777" w:rsidR="00985308" w:rsidRPr="00D22543" w:rsidRDefault="00985308" w:rsidP="00985308">
      <w:pPr>
        <w:rPr>
          <w:highlight w:val="yellow"/>
        </w:rPr>
      </w:pPr>
    </w:p>
    <w:p w14:paraId="31353DC2" w14:textId="45E8B415" w:rsidR="00985308" w:rsidRPr="00D22543" w:rsidRDefault="00985308" w:rsidP="00985308">
      <w:pPr>
        <w:rPr>
          <w:rFonts w:eastAsia="Times New Roman"/>
        </w:rPr>
      </w:pPr>
      <w:r w:rsidRPr="00D22543">
        <w:t xml:space="preserve">The first alcohol program that students are introduced to when coming to Wentworth Institute of Technology is </w:t>
      </w:r>
      <w:r w:rsidR="004D55E4" w:rsidRPr="00D22543">
        <w:t>their online mandatory course. Over the past two years we have used</w:t>
      </w:r>
      <w:r w:rsidRPr="00D22543">
        <w:t xml:space="preserve"> 3</w:t>
      </w:r>
      <w:r w:rsidRPr="00D22543">
        <w:rPr>
          <w:vertAlign w:val="superscript"/>
        </w:rPr>
        <w:t>rd</w:t>
      </w:r>
      <w:r w:rsidRPr="00D22543">
        <w:t xml:space="preserve"> Millennium </w:t>
      </w:r>
      <w:r w:rsidR="003D2D93" w:rsidRPr="00D22543">
        <w:t xml:space="preserve">and EVERFI </w:t>
      </w:r>
      <w:r w:rsidR="004D55E4" w:rsidRPr="00D22543">
        <w:t>as our vendors for this experience</w:t>
      </w:r>
      <w:r w:rsidRPr="00D22543">
        <w:t xml:space="preserve">. </w:t>
      </w:r>
      <w:r w:rsidR="003D2D93" w:rsidRPr="00D22543">
        <w:t>These courses</w:t>
      </w:r>
      <w:r w:rsidRPr="00D22543">
        <w:rPr>
          <w:rFonts w:eastAsia="Times New Roman"/>
        </w:rPr>
        <w:t xml:space="preserve"> offer online </w:t>
      </w:r>
      <w:r w:rsidR="003D2D93" w:rsidRPr="00D22543">
        <w:rPr>
          <w:rFonts w:eastAsia="Times New Roman"/>
        </w:rPr>
        <w:t>education</w:t>
      </w:r>
      <w:r w:rsidRPr="00D22543">
        <w:rPr>
          <w:rFonts w:eastAsia="Times New Roman"/>
        </w:rPr>
        <w:t xml:space="preserve"> that all incoming students must take </w:t>
      </w:r>
      <w:proofErr w:type="gramStart"/>
      <w:r w:rsidRPr="00D22543">
        <w:rPr>
          <w:rFonts w:eastAsia="Times New Roman"/>
        </w:rPr>
        <w:t>in order to</w:t>
      </w:r>
      <w:proofErr w:type="gramEnd"/>
      <w:r w:rsidRPr="00D22543">
        <w:rPr>
          <w:rFonts w:eastAsia="Times New Roman"/>
        </w:rPr>
        <w:t xml:space="preserve"> attend Wentworth. The courses educate students around alcohol use, drug use, and consent/sexual violence. These courses are unique in that while they educate on these topics, they also offer personalized, confidential feedback for each student.</w:t>
      </w:r>
    </w:p>
    <w:p w14:paraId="2F1412AD" w14:textId="301D484C" w:rsidR="003D2D93" w:rsidRPr="00D22543" w:rsidRDefault="003D2D93" w:rsidP="00985308">
      <w:pPr>
        <w:rPr>
          <w:rFonts w:eastAsia="Times New Roman"/>
        </w:rPr>
      </w:pPr>
    </w:p>
    <w:p w14:paraId="6E6B5017" w14:textId="60C66D82" w:rsidR="003D2D93" w:rsidRPr="00D22543" w:rsidRDefault="003D2D93" w:rsidP="00985308">
      <w:pPr>
        <w:rPr>
          <w:i/>
          <w:iCs/>
          <w:u w:val="single"/>
        </w:rPr>
      </w:pPr>
      <w:r w:rsidRPr="00D22543">
        <w:rPr>
          <w:rFonts w:eastAsia="Times New Roman"/>
        </w:rPr>
        <w:t>During the 2019 Fall semester, our students were mandated to take the 3</w:t>
      </w:r>
      <w:r w:rsidRPr="00D22543">
        <w:rPr>
          <w:rFonts w:eastAsia="Times New Roman"/>
          <w:vertAlign w:val="superscript"/>
        </w:rPr>
        <w:t>rd</w:t>
      </w:r>
      <w:r w:rsidRPr="00D22543">
        <w:rPr>
          <w:rFonts w:eastAsia="Times New Roman"/>
        </w:rPr>
        <w:t xml:space="preserve"> </w:t>
      </w:r>
      <w:r w:rsidR="00C01527" w:rsidRPr="00D22543">
        <w:rPr>
          <w:rFonts w:eastAsia="Times New Roman"/>
        </w:rPr>
        <w:t>Millennium</w:t>
      </w:r>
      <w:r w:rsidRPr="00D22543">
        <w:rPr>
          <w:rFonts w:eastAsia="Times New Roman"/>
        </w:rPr>
        <w:t xml:space="preserve"> courses </w:t>
      </w:r>
      <w:r w:rsidRPr="00D22543">
        <w:rPr>
          <w:rFonts w:eastAsia="Times New Roman"/>
          <w:i/>
          <w:iCs/>
        </w:rPr>
        <w:t xml:space="preserve">“Alcohol-Wise”, “Marijuana-Wise”, </w:t>
      </w:r>
      <w:r w:rsidRPr="00D22543">
        <w:rPr>
          <w:rFonts w:eastAsia="Times New Roman"/>
        </w:rPr>
        <w:t xml:space="preserve">and </w:t>
      </w:r>
      <w:r w:rsidRPr="00D22543">
        <w:rPr>
          <w:rFonts w:eastAsia="Times New Roman"/>
          <w:i/>
          <w:iCs/>
        </w:rPr>
        <w:t>“Other Drugs</w:t>
      </w:r>
      <w:r w:rsidR="000565BF" w:rsidRPr="00D22543">
        <w:rPr>
          <w:rFonts w:eastAsia="Times New Roman"/>
          <w:i/>
          <w:iCs/>
        </w:rPr>
        <w:t>”</w:t>
      </w:r>
      <w:r w:rsidR="000565BF" w:rsidRPr="00D22543">
        <w:rPr>
          <w:rFonts w:eastAsia="Times New Roman"/>
        </w:rPr>
        <w:t xml:space="preserve">. For the 2020 Fall Semester, we switched vendors and students were mandated to take the EVERFI courses </w:t>
      </w:r>
      <w:r w:rsidR="000565BF" w:rsidRPr="00D22543">
        <w:rPr>
          <w:rFonts w:eastAsia="Times New Roman"/>
          <w:i/>
          <w:iCs/>
        </w:rPr>
        <w:t>“</w:t>
      </w:r>
      <w:proofErr w:type="spellStart"/>
      <w:r w:rsidR="000565BF" w:rsidRPr="00D22543">
        <w:rPr>
          <w:rFonts w:eastAsia="Times New Roman"/>
          <w:i/>
          <w:iCs/>
        </w:rPr>
        <w:t>Alcohol</w:t>
      </w:r>
      <w:r w:rsidR="00DB225D" w:rsidRPr="00D22543">
        <w:rPr>
          <w:rFonts w:eastAsia="Times New Roman"/>
          <w:i/>
          <w:iCs/>
        </w:rPr>
        <w:t>EDU</w:t>
      </w:r>
      <w:proofErr w:type="spellEnd"/>
      <w:r w:rsidR="000565BF" w:rsidRPr="00D22543">
        <w:rPr>
          <w:rFonts w:eastAsia="Times New Roman"/>
          <w:i/>
          <w:iCs/>
        </w:rPr>
        <w:t xml:space="preserve">” </w:t>
      </w:r>
      <w:r w:rsidR="000565BF" w:rsidRPr="00D22543">
        <w:rPr>
          <w:rFonts w:eastAsia="Times New Roman"/>
        </w:rPr>
        <w:t xml:space="preserve">and </w:t>
      </w:r>
      <w:r w:rsidR="000565BF" w:rsidRPr="00D22543">
        <w:rPr>
          <w:rFonts w:eastAsia="Times New Roman"/>
          <w:i/>
          <w:iCs/>
        </w:rPr>
        <w:t>“Sexual Assault Prevention for Undergraduates”.</w:t>
      </w:r>
      <w:r w:rsidR="000565BF" w:rsidRPr="00D22543">
        <w:rPr>
          <w:i/>
          <w:iCs/>
        </w:rPr>
        <w:t xml:space="preserve"> </w:t>
      </w:r>
      <w:r w:rsidR="008634AA" w:rsidRPr="00D22543">
        <w:t xml:space="preserve">Our student athletes were also mandated to take an additional </w:t>
      </w:r>
      <w:r w:rsidR="008634AA" w:rsidRPr="00D22543">
        <w:rPr>
          <w:i/>
          <w:iCs/>
        </w:rPr>
        <w:t>“Sexual Assault Prevention for Athletes”.</w:t>
      </w:r>
      <w:r w:rsidR="008634AA" w:rsidRPr="00D22543">
        <w:t xml:space="preserve"> </w:t>
      </w:r>
      <w:r w:rsidR="009E4BB1">
        <w:t>T</w:t>
      </w:r>
      <w:r w:rsidR="008634AA" w:rsidRPr="00D22543">
        <w:t>hese courses</w:t>
      </w:r>
      <w:r w:rsidR="000565BF" w:rsidRPr="00D22543">
        <w:t xml:space="preserve"> are outlined below. </w:t>
      </w:r>
      <w:r w:rsidRPr="00D22543">
        <w:rPr>
          <w:rFonts w:eastAsia="Times New Roman"/>
          <w:i/>
          <w:iCs/>
        </w:rPr>
        <w:t xml:space="preserve"> </w:t>
      </w:r>
    </w:p>
    <w:p w14:paraId="349F98E5" w14:textId="77777777" w:rsidR="00985308" w:rsidRPr="00D22543" w:rsidRDefault="00985308" w:rsidP="00985308"/>
    <w:p w14:paraId="69B95F82" w14:textId="77777777" w:rsidR="00985308" w:rsidRPr="00D22543" w:rsidRDefault="00985308" w:rsidP="00985308">
      <w:r w:rsidRPr="00D22543">
        <w:rPr>
          <w:bCs/>
          <w:i/>
        </w:rPr>
        <w:t>“Alcohol-Wise”</w:t>
      </w:r>
      <w:r w:rsidRPr="00D22543">
        <w:t> </w:t>
      </w:r>
      <w:r w:rsidRPr="00D22543">
        <w:rPr>
          <w:bCs/>
        </w:rPr>
        <w:t xml:space="preserve">is a 1-hour online alcohol abuse prevention course designed specifically for use on college campuses for first-year students and other high-risk groups. </w:t>
      </w:r>
      <w:r w:rsidRPr="00D22543">
        <w:t>Alcohol-Wise is tailored for each user. Students access self-referral tools, as well as utilize pre- and post-course assessments to provide measurements of behavior change and knowledge gained. The course clarifies personal choices about drinking habits and attitudes, and how alcohol can affect academic progress and social behavior.</w:t>
      </w:r>
    </w:p>
    <w:p w14:paraId="0791E1A9" w14:textId="77777777" w:rsidR="00985308" w:rsidRPr="00D22543" w:rsidRDefault="00985308" w:rsidP="00985308"/>
    <w:p w14:paraId="028AC54C" w14:textId="77777777" w:rsidR="00985308" w:rsidRPr="00D22543" w:rsidRDefault="00985308" w:rsidP="00985308">
      <w:r w:rsidRPr="00D22543">
        <w:rPr>
          <w:i/>
        </w:rPr>
        <w:t>“Marijuana-Wise”</w:t>
      </w:r>
      <w:r w:rsidRPr="00D22543">
        <w:t xml:space="preserve"> educates students about the harmful effects of marijuana and acts as a prevention tool for future marijuana related problems. </w:t>
      </w:r>
      <w:r w:rsidRPr="00D22543">
        <w:rPr>
          <w:rStyle w:val="apple-converted-space"/>
        </w:rPr>
        <w:t> </w:t>
      </w:r>
      <w:r w:rsidRPr="00D22543">
        <w:t xml:space="preserve">The course includes the eCHECKUP TO GO personalized marijuana assessment, feedback, and self-referral tools. Marijuana-Wise also includes research on the impact that persistent use has on IQ, marijuana as a gateway drug, links to schizophrenia, and health consequences from synthetic marijuana use. </w:t>
      </w:r>
    </w:p>
    <w:p w14:paraId="20BFB13B" w14:textId="77777777" w:rsidR="00985308" w:rsidRPr="00D22543" w:rsidRDefault="00985308" w:rsidP="00985308"/>
    <w:p w14:paraId="74FED5E3" w14:textId="77777777" w:rsidR="00985308" w:rsidRPr="00D22543" w:rsidRDefault="00985308" w:rsidP="00985308">
      <w:r w:rsidRPr="00D22543">
        <w:t>Students also take an “</w:t>
      </w:r>
      <w:r w:rsidRPr="00D22543">
        <w:rPr>
          <w:i/>
        </w:rPr>
        <w:t>Other Drugs</w:t>
      </w:r>
      <w:r w:rsidRPr="00D22543">
        <w:t>” module. This module gives students feedback about their drug use (including interactions between drugs). The course covers opiates, stimulants, sedatives, inhalants, herbal/synthetic drugs ecstasy, and prescription painkillers misuse. The course covers the physiological, health and legal consequences of drug use and possession.</w:t>
      </w:r>
    </w:p>
    <w:p w14:paraId="6F6051CF" w14:textId="6B794D57" w:rsidR="00985308" w:rsidRPr="00D22543" w:rsidRDefault="00985308" w:rsidP="00985308"/>
    <w:p w14:paraId="15D33B47" w14:textId="124300F2" w:rsidR="000565BF" w:rsidRPr="000565BF" w:rsidRDefault="00EC5055" w:rsidP="00EC5055">
      <w:pPr>
        <w:shd w:val="clear" w:color="auto" w:fill="FFFFFF"/>
        <w:spacing w:before="100" w:beforeAutospacing="1" w:after="100" w:afterAutospacing="1"/>
        <w:rPr>
          <w:rFonts w:eastAsia="Times New Roman"/>
          <w:lang w:eastAsia="en-US"/>
        </w:rPr>
      </w:pPr>
      <w:r w:rsidRPr="00D22543">
        <w:rPr>
          <w:rFonts w:eastAsia="Times New Roman"/>
          <w:i/>
          <w:iCs/>
          <w:lang w:eastAsia="en-US"/>
        </w:rPr>
        <w:lastRenderedPageBreak/>
        <w:t>“</w:t>
      </w:r>
      <w:proofErr w:type="spellStart"/>
      <w:r w:rsidR="000565BF" w:rsidRPr="000565BF">
        <w:rPr>
          <w:rFonts w:eastAsia="Times New Roman"/>
          <w:i/>
          <w:iCs/>
          <w:lang w:eastAsia="en-US"/>
        </w:rPr>
        <w:t>AlcoholEDU</w:t>
      </w:r>
      <w:proofErr w:type="spellEnd"/>
      <w:r w:rsidRPr="00D22543">
        <w:rPr>
          <w:rFonts w:eastAsia="Times New Roman"/>
          <w:i/>
          <w:iCs/>
          <w:lang w:eastAsia="en-US"/>
        </w:rPr>
        <w:t>”</w:t>
      </w:r>
      <w:r w:rsidR="00DB225D" w:rsidRPr="00D22543">
        <w:rPr>
          <w:rFonts w:eastAsia="Times New Roman"/>
          <w:lang w:eastAsia="en-US"/>
        </w:rPr>
        <w:t xml:space="preserve"> through EVERFI</w:t>
      </w:r>
      <w:r w:rsidR="000565BF" w:rsidRPr="000565BF">
        <w:rPr>
          <w:rFonts w:eastAsia="Times New Roman"/>
          <w:lang w:eastAsia="en-US"/>
        </w:rPr>
        <w:t xml:space="preserve"> for First Year Students</w:t>
      </w:r>
      <w:r w:rsidR="008634AA" w:rsidRPr="00D22543">
        <w:rPr>
          <w:rFonts w:eastAsia="Times New Roman"/>
          <w:lang w:eastAsia="en-US"/>
        </w:rPr>
        <w:t xml:space="preserve"> is d</w:t>
      </w:r>
      <w:r w:rsidR="000565BF" w:rsidRPr="000565BF">
        <w:rPr>
          <w:rFonts w:eastAsia="Times New Roman"/>
          <w:lang w:eastAsia="en-US"/>
        </w:rPr>
        <w:t>esigned for students entering college, this interactive online program uses the latest evidence-based prevention methods to create a highly engaging user experience, inspiring students to make healthier decisions related to alcohol and other drugs. This course includes tailored content that will</w:t>
      </w:r>
      <w:r w:rsidRPr="00D22543">
        <w:rPr>
          <w:rFonts w:eastAsia="Times New Roman"/>
          <w:lang w:eastAsia="en-US"/>
        </w:rPr>
        <w:t xml:space="preserve"> e</w:t>
      </w:r>
      <w:r w:rsidR="000565BF" w:rsidRPr="000565BF">
        <w:rPr>
          <w:rFonts w:eastAsia="Times New Roman"/>
          <w:lang w:eastAsia="en-US"/>
        </w:rPr>
        <w:t>ngage abstainers, light to moderate drinkers, and frequent drinkers with customized messaging</w:t>
      </w:r>
      <w:r w:rsidRPr="00D22543">
        <w:rPr>
          <w:rFonts w:eastAsia="Times New Roman"/>
          <w:lang w:eastAsia="en-US"/>
        </w:rPr>
        <w:t>. It will also e</w:t>
      </w:r>
      <w:r w:rsidR="000565BF" w:rsidRPr="000565BF">
        <w:rPr>
          <w:rFonts w:eastAsia="Times New Roman"/>
          <w:lang w:eastAsia="en-US"/>
        </w:rPr>
        <w:t>ducate students on the mental and physical the effects of alcohol</w:t>
      </w:r>
      <w:r w:rsidRPr="00D22543">
        <w:rPr>
          <w:rFonts w:eastAsia="Times New Roman"/>
          <w:lang w:eastAsia="en-US"/>
        </w:rPr>
        <w:t>. Additionally, the course p</w:t>
      </w:r>
      <w:r w:rsidR="000565BF" w:rsidRPr="000565BF">
        <w:rPr>
          <w:rFonts w:eastAsia="Times New Roman"/>
          <w:lang w:eastAsia="en-US"/>
        </w:rPr>
        <w:t>repare</w:t>
      </w:r>
      <w:r w:rsidRPr="00D22543">
        <w:rPr>
          <w:rFonts w:eastAsia="Times New Roman"/>
          <w:lang w:eastAsia="en-US"/>
        </w:rPr>
        <w:t>s</w:t>
      </w:r>
      <w:r w:rsidR="000565BF" w:rsidRPr="000565BF">
        <w:rPr>
          <w:rFonts w:eastAsia="Times New Roman"/>
          <w:lang w:eastAsia="en-US"/>
        </w:rPr>
        <w:t xml:space="preserve"> students to engage in bystander intervention</w:t>
      </w:r>
      <w:r w:rsidRPr="00D22543">
        <w:rPr>
          <w:rFonts w:eastAsia="Times New Roman"/>
          <w:lang w:eastAsia="en-US"/>
        </w:rPr>
        <w:t>.</w:t>
      </w:r>
    </w:p>
    <w:p w14:paraId="16602EFE" w14:textId="18EFF55A" w:rsidR="00F8199C" w:rsidRDefault="000565BF" w:rsidP="00682ACA">
      <w:pPr>
        <w:shd w:val="clear" w:color="auto" w:fill="FFFFFF"/>
        <w:spacing w:before="100" w:beforeAutospacing="1" w:after="100" w:afterAutospacing="1"/>
        <w:rPr>
          <w:color w:val="000000"/>
        </w:rPr>
      </w:pPr>
      <w:r w:rsidRPr="000565BF">
        <w:rPr>
          <w:rFonts w:eastAsia="Times New Roman"/>
          <w:lang w:eastAsia="en-US"/>
        </w:rPr>
        <w:t xml:space="preserve">EVERFI’s </w:t>
      </w:r>
      <w:r w:rsidR="00EC5055" w:rsidRPr="00D22543">
        <w:rPr>
          <w:rFonts w:eastAsia="Times New Roman"/>
          <w:i/>
          <w:iCs/>
          <w:lang w:eastAsia="en-US"/>
        </w:rPr>
        <w:t>“</w:t>
      </w:r>
      <w:r w:rsidRPr="000565BF">
        <w:rPr>
          <w:rFonts w:eastAsia="Times New Roman"/>
          <w:i/>
          <w:iCs/>
          <w:lang w:eastAsia="en-US"/>
        </w:rPr>
        <w:t>Sexual Assault Prevention for Undergraduate Students</w:t>
      </w:r>
      <w:r w:rsidR="00EC5055" w:rsidRPr="00D22543">
        <w:rPr>
          <w:rFonts w:eastAsia="Times New Roman"/>
          <w:i/>
          <w:iCs/>
          <w:lang w:eastAsia="en-US"/>
        </w:rPr>
        <w:t>”</w:t>
      </w:r>
      <w:r w:rsidRPr="000565BF">
        <w:rPr>
          <w:rFonts w:eastAsia="Times New Roman"/>
          <w:i/>
          <w:iCs/>
          <w:lang w:eastAsia="en-US"/>
        </w:rPr>
        <w:t xml:space="preserve"> </w:t>
      </w:r>
      <w:r w:rsidRPr="000565BF">
        <w:rPr>
          <w:rFonts w:eastAsia="Times New Roman"/>
          <w:lang w:eastAsia="en-US"/>
        </w:rPr>
        <w:t>is a comprehensive education and training solution. Using realistic scenarios students can relate to as well as interactive elements that keep learners engaged throughout the course, it provides education that</w:t>
      </w:r>
      <w:r w:rsidR="00EC5055" w:rsidRPr="00D22543">
        <w:rPr>
          <w:rFonts w:eastAsia="Times New Roman"/>
          <w:lang w:eastAsia="en-US"/>
        </w:rPr>
        <w:t xml:space="preserve"> f</w:t>
      </w:r>
      <w:r w:rsidRPr="000565BF">
        <w:rPr>
          <w:rFonts w:eastAsia="Times New Roman"/>
          <w:lang w:eastAsia="en-US"/>
        </w:rPr>
        <w:t>osters healthy relationships behaviors</w:t>
      </w:r>
      <w:r w:rsidR="00EC5055" w:rsidRPr="00D22543">
        <w:rPr>
          <w:rFonts w:eastAsia="Times New Roman"/>
          <w:lang w:eastAsia="en-US"/>
        </w:rPr>
        <w:t xml:space="preserve"> and prepares</w:t>
      </w:r>
      <w:r w:rsidRPr="000565BF">
        <w:rPr>
          <w:rFonts w:eastAsia="Times New Roman"/>
          <w:lang w:eastAsia="en-US"/>
        </w:rPr>
        <w:t xml:space="preserve"> students to recognize and respond to sexual assault and harassment</w:t>
      </w:r>
      <w:r w:rsidR="00EC5055" w:rsidRPr="00D22543">
        <w:rPr>
          <w:rFonts w:eastAsia="Times New Roman"/>
          <w:lang w:eastAsia="en-US"/>
        </w:rPr>
        <w:t>. This course also adds in education surrounding alcohols impact on judgment, consent, and decision making.</w:t>
      </w:r>
    </w:p>
    <w:p w14:paraId="35DBFF57" w14:textId="3E5F3321" w:rsidR="00F8199C" w:rsidRDefault="00F8199C" w:rsidP="00F8199C">
      <w:r>
        <w:t xml:space="preserve">During Wentworth Opening Week (WOW), various offices put on presentations to inform students about a variety of topics that can support a student transition to college. The Assistant Director of Health Promotion and Education </w:t>
      </w:r>
      <w:r w:rsidR="000D4C05">
        <w:t>presents</w:t>
      </w:r>
      <w:r>
        <w:t xml:space="preserve"> to the incoming class of students</w:t>
      </w:r>
      <w:r w:rsidR="000D4C05">
        <w:t xml:space="preserve">. </w:t>
      </w:r>
      <w:r>
        <w:t xml:space="preserve">This presentation is meant to give students an in-person lecture format on substance use before the start of their semester. The goal is to provide students with alcohol and other drug education as well as to get students to think more critically about decision-making models how it </w:t>
      </w:r>
      <w:r w:rsidR="000D4C05">
        <w:t xml:space="preserve">will </w:t>
      </w:r>
      <w:r>
        <w:t>relate</w:t>
      </w:r>
      <w:r w:rsidR="000D4C05">
        <w:t xml:space="preserve"> </w:t>
      </w:r>
      <w:r>
        <w:t xml:space="preserve">to their college experience. </w:t>
      </w:r>
    </w:p>
    <w:p w14:paraId="6D6AD0DF" w14:textId="33E36DA6" w:rsidR="00F8199C" w:rsidRDefault="00F8199C" w:rsidP="00985308">
      <w:pPr>
        <w:rPr>
          <w:color w:val="000000"/>
        </w:rPr>
      </w:pPr>
    </w:p>
    <w:p w14:paraId="5ED742CD" w14:textId="25C6C0AE" w:rsidR="00B4335C" w:rsidRDefault="00682ACA" w:rsidP="00985308">
      <w:r>
        <w:t xml:space="preserve">Another key area where we focus programming efforts is during high-risk weekends. Each year, the </w:t>
      </w:r>
      <w:r w:rsidR="000D4C05">
        <w:t>Assistant Director of Health Promotion and Education and the Prevention Specialist work collaboratively to</w:t>
      </w:r>
      <w:r>
        <w:t xml:space="preserve"> plan several events during “Alcohol Awareness Week” that coincide with Halloween weekend during the Fall semester. Our data shows that Halloween weekend is our highest risk drinking weekend. During the last week of October in both 2019 and 2020, we have organized a series of initiatives to educate students on various objectives related to alcohol use including harm-reduction, social norms, community values, and dependence. These initiatives range from passive programming campaigns to large-scale events and collaborative peer led programs. We have utilized impairment vision goggles while educating students on Blood Alcohol Content and have distributed many Blood Alcohol Content Cards</w:t>
      </w:r>
      <w:r w:rsidR="00E66E75">
        <w:t xml:space="preserve">. </w:t>
      </w:r>
    </w:p>
    <w:p w14:paraId="154C8898" w14:textId="77777777" w:rsidR="00B4335C" w:rsidRDefault="00B4335C" w:rsidP="00985308"/>
    <w:p w14:paraId="6CC02470" w14:textId="37AE1FC0" w:rsidR="00682ACA" w:rsidRDefault="00B4335C" w:rsidP="00985308">
      <w:r>
        <w:t>Within the Fall of 2019</w:t>
      </w:r>
      <w:r w:rsidR="00280294">
        <w:t>, the A</w:t>
      </w:r>
      <w:r>
        <w:t xml:space="preserve">lcohol Awareness Week </w:t>
      </w:r>
      <w:r w:rsidR="00280294">
        <w:t xml:space="preserve">was </w:t>
      </w:r>
      <w:r>
        <w:t xml:space="preserve">done in partnership with the RA’s. This included an educational maze/ haunted house, several educational booths, passive programs, and social media marketing. A larger event was also planned the Thursday before Halloween Weekend. This was a large Mocktail Social. This was done in collaboration with the Conduct office. It included activities, education on Standard Drink Sizes, alternative non-alcoholic beverages, and ways to say no to Alcohol. </w:t>
      </w:r>
    </w:p>
    <w:p w14:paraId="14BEB67B" w14:textId="736B4E51" w:rsidR="00B4335C" w:rsidRDefault="00B4335C" w:rsidP="00985308"/>
    <w:p w14:paraId="76A87E1F" w14:textId="7A1A2D28" w:rsidR="00B4335C" w:rsidRDefault="00B4335C" w:rsidP="00985308">
      <w:r>
        <w:t>In the Spring of 2020, in the first week of March</w:t>
      </w:r>
      <w:r w:rsidR="00A906DC">
        <w:t>, there was a large Mocktail Social. This event featured 7 booths</w:t>
      </w:r>
      <w:r w:rsidR="00280294">
        <w:t xml:space="preserve"> including alcohol and emotions, BAC, standard drink size, alcohol and marijuana, and the dangers of mixing substances</w:t>
      </w:r>
      <w:r w:rsidR="00A906DC">
        <w:t xml:space="preserve">. The event was done in collaboration with the Student Wellness Education and Empowerment Team. </w:t>
      </w:r>
    </w:p>
    <w:p w14:paraId="62010189" w14:textId="77777777" w:rsidR="00B4335C" w:rsidRDefault="00B4335C" w:rsidP="00985308"/>
    <w:p w14:paraId="36F2406A" w14:textId="10076C4C" w:rsidR="00682ACA" w:rsidRDefault="00682ACA" w:rsidP="00985308">
      <w:r>
        <w:t>In the Fall of 2020, we became creative in our efforts to provide socially distant active programs on alcohol education and providing alcohol education as it relates to COVID-19. This included a fall curriculum of 2 live-online classes. One related to Alcohol and Emotions and one educating students on COVID-19 and Substance use. An in-person outdoor booth educat</w:t>
      </w:r>
      <w:r w:rsidR="006333A8">
        <w:t>ed students</w:t>
      </w:r>
      <w:r>
        <w:t xml:space="preserve"> on standard drink measurement using individually wrapped candy to represent various alcohol beverages. </w:t>
      </w:r>
      <w:r w:rsidR="006333A8">
        <w:t>We also utilized a</w:t>
      </w:r>
      <w:r>
        <w:t xml:space="preserve"> week-long social media campaign, and a variety of passive poster initiatives throughout the semester</w:t>
      </w:r>
      <w:r w:rsidR="006333A8">
        <w:t xml:space="preserve"> to educate students about alcohol and substance use. </w:t>
      </w:r>
    </w:p>
    <w:p w14:paraId="5F49C7C8" w14:textId="2C8235D9" w:rsidR="00682ACA" w:rsidRDefault="00682ACA" w:rsidP="00985308"/>
    <w:p w14:paraId="752AEFB3" w14:textId="05E3F14D" w:rsidR="00AA03AD" w:rsidRDefault="00985308" w:rsidP="00AA03AD">
      <w:r w:rsidRPr="00FE6FB9">
        <w:t xml:space="preserve">The Office of </w:t>
      </w:r>
      <w:r w:rsidR="00AA03AD">
        <w:t>Health Promotion and Education</w:t>
      </w:r>
      <w:r w:rsidRPr="00FE6FB9">
        <w:t xml:space="preserve"> also con</w:t>
      </w:r>
      <w:r>
        <w:t xml:space="preserve">ducts outreach to the community through </w:t>
      </w:r>
      <w:r w:rsidR="00AA03AD">
        <w:t xml:space="preserve">intermittent </w:t>
      </w:r>
      <w:r>
        <w:t>interactive informative</w:t>
      </w:r>
      <w:r w:rsidRPr="00FE6FB9">
        <w:t xml:space="preserve"> </w:t>
      </w:r>
      <w:r>
        <w:t>tabling</w:t>
      </w:r>
      <w:r w:rsidRPr="00FE6FB9">
        <w:t xml:space="preserve">, letters, health communication campaigns, presentations, and programming. The </w:t>
      </w:r>
      <w:r w:rsidRPr="00FE6FB9">
        <w:lastRenderedPageBreak/>
        <w:t xml:space="preserve">office also uses </w:t>
      </w:r>
      <w:r w:rsidR="00AA03AD">
        <w:t>an</w:t>
      </w:r>
      <w:r w:rsidR="00B9592C">
        <w:t xml:space="preserve"> </w:t>
      </w:r>
      <w:r w:rsidR="00AA03AD">
        <w:t>informational internal</w:t>
      </w:r>
      <w:r w:rsidRPr="00FE6FB9">
        <w:t xml:space="preserve"> website</w:t>
      </w:r>
      <w:r w:rsidR="00B9592C">
        <w:t>,</w:t>
      </w:r>
      <w:r w:rsidR="00AA03AD">
        <w:t xml:space="preserve"> </w:t>
      </w:r>
      <w:r w:rsidRPr="00FE6FB9">
        <w:t>Twitter</w:t>
      </w:r>
      <w:r w:rsidR="00AA03AD">
        <w:t xml:space="preserve">, </w:t>
      </w:r>
      <w:r w:rsidRPr="00FE6FB9">
        <w:t xml:space="preserve">and Instagram to aid in the dissemination of consistent and non-biased information to the students. </w:t>
      </w:r>
    </w:p>
    <w:p w14:paraId="3EFFF0E3" w14:textId="77777777" w:rsidR="00B9592C" w:rsidRDefault="00B9592C" w:rsidP="00AA03AD"/>
    <w:p w14:paraId="5D296B85" w14:textId="3EC695B0" w:rsidR="00985308" w:rsidRDefault="00AA03AD" w:rsidP="00AA03AD">
      <w:r>
        <w:t>T</w:t>
      </w:r>
      <w:r w:rsidR="00985308">
        <w:t xml:space="preserve">he Office of </w:t>
      </w:r>
      <w:r w:rsidR="00960664">
        <w:t>Health Promotion and</w:t>
      </w:r>
      <w:r w:rsidR="00985308">
        <w:t xml:space="preserve"> Education </w:t>
      </w:r>
      <w:r>
        <w:t>employs</w:t>
      </w:r>
      <w:r w:rsidR="00985308">
        <w:t xml:space="preserve"> Peer Health Educators to convey information to students around substances use and abuse. There have been ongoing passive and active programs put on by these educators on topics related to alcohol, marijuana, vaping, other drugs as well as code of conduct and policy. This has been in the format of tabling, </w:t>
      </w:r>
      <w:proofErr w:type="spellStart"/>
      <w:r w:rsidR="00985308">
        <w:t>flyering</w:t>
      </w:r>
      <w:proofErr w:type="spellEnd"/>
      <w:r w:rsidR="00985308">
        <w:t xml:space="preserve">, poster campaigns, social media campaigns, creation of booklets, bulletin boards, interactive games, and promotional items. </w:t>
      </w:r>
    </w:p>
    <w:p w14:paraId="190EC3B5" w14:textId="77777777" w:rsidR="00985308" w:rsidRPr="00230AE5" w:rsidRDefault="00985308" w:rsidP="00985308">
      <w:pPr>
        <w:pStyle w:val="Heading1"/>
      </w:pPr>
      <w:bookmarkStart w:id="3" w:name="_Toc59379453"/>
      <w:r w:rsidRPr="009C7934">
        <w:t>Statement of AOD program goals and goal achievement</w:t>
      </w:r>
      <w:bookmarkEnd w:id="3"/>
    </w:p>
    <w:p w14:paraId="6676A9EE" w14:textId="77777777" w:rsidR="00985308" w:rsidRDefault="00985308" w:rsidP="00985308"/>
    <w:p w14:paraId="7161EB9F" w14:textId="4158B1C3" w:rsidR="00985308" w:rsidRPr="00FE6FB9" w:rsidRDefault="00985308" w:rsidP="00985308">
      <w:r w:rsidRPr="00FE6FB9">
        <w:t xml:space="preserve">The Office of </w:t>
      </w:r>
      <w:r w:rsidR="00947314">
        <w:t>Health Promotion and Education</w:t>
      </w:r>
      <w:r w:rsidRPr="00FE6FB9">
        <w:t xml:space="preserve"> develops annual work plans based on the following student-centered goals and learning outcomes.</w:t>
      </w:r>
    </w:p>
    <w:p w14:paraId="54991CA2" w14:textId="77777777" w:rsidR="00985308" w:rsidRPr="00FE6FB9" w:rsidRDefault="00985308" w:rsidP="00985308">
      <w:r w:rsidRPr="00FE6FB9">
        <w:t xml:space="preserve"> </w:t>
      </w:r>
    </w:p>
    <w:p w14:paraId="10EC6605" w14:textId="748343A2" w:rsidR="00985308" w:rsidRPr="00FE6FB9" w:rsidRDefault="00985308" w:rsidP="00985308">
      <w:pPr>
        <w:jc w:val="both"/>
        <w:rPr>
          <w:b/>
        </w:rPr>
      </w:pPr>
      <w:r w:rsidRPr="00FE6FB9">
        <w:rPr>
          <w:b/>
          <w:bCs/>
        </w:rPr>
        <w:t xml:space="preserve">Healthy Lifestyle Development - </w:t>
      </w:r>
      <w:r w:rsidRPr="00FE6FB9">
        <w:rPr>
          <w:b/>
          <w:bCs/>
          <w:i/>
          <w:iCs/>
        </w:rPr>
        <w:t xml:space="preserve">Understanding that healthy choices enhance personal, </w:t>
      </w:r>
      <w:r w:rsidR="00246676" w:rsidRPr="00FE6FB9">
        <w:rPr>
          <w:b/>
          <w:bCs/>
          <w:i/>
          <w:iCs/>
        </w:rPr>
        <w:t>academic</w:t>
      </w:r>
      <w:r w:rsidR="005E76AF">
        <w:rPr>
          <w:b/>
          <w:bCs/>
          <w:i/>
          <w:iCs/>
        </w:rPr>
        <w:t>,</w:t>
      </w:r>
      <w:r w:rsidRPr="00FE6FB9">
        <w:rPr>
          <w:b/>
          <w:bCs/>
          <w:i/>
          <w:iCs/>
        </w:rPr>
        <w:t xml:space="preserve"> and professional success.</w:t>
      </w:r>
    </w:p>
    <w:p w14:paraId="58128842" w14:textId="77777777" w:rsidR="00985308" w:rsidRPr="00FE6FB9" w:rsidRDefault="00985308" w:rsidP="00985308">
      <w:pPr>
        <w:jc w:val="both"/>
      </w:pPr>
    </w:p>
    <w:p w14:paraId="5A023FE4" w14:textId="6AC68B52" w:rsidR="00985308" w:rsidRPr="00FE6FB9" w:rsidRDefault="00985308" w:rsidP="00985308">
      <w:pPr>
        <w:numPr>
          <w:ilvl w:val="0"/>
          <w:numId w:val="8"/>
        </w:numPr>
      </w:pPr>
      <w:r w:rsidRPr="00FE6FB9">
        <w:t xml:space="preserve">Students will identify strategies which promote physical, intellectual, emotional, social, spiritual, </w:t>
      </w:r>
      <w:r w:rsidR="0015435D" w:rsidRPr="00FE6FB9">
        <w:t>environmental</w:t>
      </w:r>
      <w:r w:rsidR="005E76AF">
        <w:t>,</w:t>
      </w:r>
      <w:r w:rsidRPr="00FE6FB9">
        <w:t xml:space="preserve"> and occupational wellbeing. </w:t>
      </w:r>
    </w:p>
    <w:p w14:paraId="2359E798" w14:textId="77777777" w:rsidR="00985308" w:rsidRPr="00FE6FB9" w:rsidRDefault="00985308" w:rsidP="00985308">
      <w:pPr>
        <w:numPr>
          <w:ilvl w:val="0"/>
          <w:numId w:val="8"/>
        </w:numPr>
      </w:pPr>
      <w:r w:rsidRPr="00FE6FB9">
        <w:t>Students will identify resources to assist in the development of a healthy lifestyle.</w:t>
      </w:r>
    </w:p>
    <w:p w14:paraId="4B167CEC" w14:textId="77777777" w:rsidR="00985308" w:rsidRPr="00FE6FB9" w:rsidRDefault="00985308" w:rsidP="00985308">
      <w:pPr>
        <w:numPr>
          <w:ilvl w:val="0"/>
          <w:numId w:val="8"/>
        </w:numPr>
      </w:pPr>
      <w:r w:rsidRPr="00FE6FB9">
        <w:t>Students will develop self-awareness of how their health behaviors contribute to achieving personal goals.</w:t>
      </w:r>
    </w:p>
    <w:p w14:paraId="38C3473F" w14:textId="77777777" w:rsidR="00985308" w:rsidRPr="00FE6FB9" w:rsidRDefault="00985308" w:rsidP="00985308">
      <w:pPr>
        <w:numPr>
          <w:ilvl w:val="0"/>
          <w:numId w:val="8"/>
        </w:numPr>
        <w:autoSpaceDE w:val="0"/>
        <w:autoSpaceDN w:val="0"/>
        <w:adjustRightInd w:val="0"/>
        <w:rPr>
          <w:rFonts w:eastAsia="Calibri"/>
        </w:rPr>
      </w:pPr>
      <w:r w:rsidRPr="00FE6FB9">
        <w:rPr>
          <w:rFonts w:eastAsia="Calibri"/>
        </w:rPr>
        <w:t>Students will identify a healthy balance between academics, employment, social and leisure time.</w:t>
      </w:r>
    </w:p>
    <w:p w14:paraId="369109BD" w14:textId="77777777" w:rsidR="00985308" w:rsidRPr="00FE6FB9" w:rsidRDefault="00985308" w:rsidP="00985308">
      <w:pPr>
        <w:numPr>
          <w:ilvl w:val="0"/>
          <w:numId w:val="8"/>
        </w:numPr>
      </w:pPr>
      <w:r w:rsidRPr="00FE6FB9">
        <w:t xml:space="preserve">Students will utilize technology to access credible and relevant health information. </w:t>
      </w:r>
    </w:p>
    <w:p w14:paraId="752F66EE" w14:textId="77777777" w:rsidR="00985308" w:rsidRPr="00FE6FB9" w:rsidRDefault="00985308" w:rsidP="00985308">
      <w:pPr>
        <w:numPr>
          <w:ilvl w:val="0"/>
          <w:numId w:val="8"/>
        </w:numPr>
      </w:pPr>
      <w:r w:rsidRPr="00FE6FB9">
        <w:t>Students will develop healthy coping strategies to manage negative stress.</w:t>
      </w:r>
    </w:p>
    <w:p w14:paraId="368CBF68" w14:textId="77777777" w:rsidR="00985308" w:rsidRPr="00FE6FB9" w:rsidRDefault="00985308" w:rsidP="00985308">
      <w:pPr>
        <w:numPr>
          <w:ilvl w:val="0"/>
          <w:numId w:val="8"/>
        </w:numPr>
      </w:pPr>
      <w:r w:rsidRPr="00FE6FB9">
        <w:t>Students will utilize appropriate health services when needed.</w:t>
      </w:r>
    </w:p>
    <w:p w14:paraId="5097D7DD" w14:textId="77777777" w:rsidR="00985308" w:rsidRPr="00FE6FB9" w:rsidRDefault="00985308" w:rsidP="00985308">
      <w:pPr>
        <w:numPr>
          <w:ilvl w:val="0"/>
          <w:numId w:val="8"/>
        </w:numPr>
      </w:pPr>
      <w:r w:rsidRPr="00FE6FB9">
        <w:t>Students will make contributions to suppo</w:t>
      </w:r>
      <w:r>
        <w:t>rt a healthier campus community including acting as a proactive bystander for community members in need.</w:t>
      </w:r>
    </w:p>
    <w:p w14:paraId="6C412661" w14:textId="77777777" w:rsidR="00985308" w:rsidRPr="00FE6FB9" w:rsidRDefault="00985308" w:rsidP="00985308">
      <w:pPr>
        <w:ind w:left="720"/>
      </w:pPr>
    </w:p>
    <w:p w14:paraId="1A6A4310" w14:textId="77777777" w:rsidR="00985308" w:rsidRPr="00FE6FB9" w:rsidRDefault="00985308" w:rsidP="00985308">
      <w:pPr>
        <w:jc w:val="both"/>
        <w:rPr>
          <w:b/>
          <w:i/>
        </w:rPr>
      </w:pPr>
      <w:r w:rsidRPr="00FE6FB9">
        <w:rPr>
          <w:b/>
          <w:bCs/>
        </w:rPr>
        <w:t xml:space="preserve">Healthy Decision Making - </w:t>
      </w:r>
      <w:r w:rsidRPr="00FE6FB9">
        <w:rPr>
          <w:b/>
          <w:bCs/>
          <w:i/>
          <w:iCs/>
        </w:rPr>
        <w:t>Awareness of informed decision making to protect wellbeing and reduce personal risks.</w:t>
      </w:r>
    </w:p>
    <w:p w14:paraId="799B7EF9" w14:textId="77777777" w:rsidR="00985308" w:rsidRPr="00FE6FB9" w:rsidRDefault="00985308" w:rsidP="00985308"/>
    <w:p w14:paraId="5D62FF35" w14:textId="77777777" w:rsidR="00985308" w:rsidRPr="00FE6FB9" w:rsidRDefault="00985308" w:rsidP="00985308">
      <w:pPr>
        <w:numPr>
          <w:ilvl w:val="0"/>
          <w:numId w:val="9"/>
        </w:numPr>
      </w:pPr>
      <w:r w:rsidRPr="00FE6FB9">
        <w:t xml:space="preserve">Students will identify healthy alternatives to substance use. </w:t>
      </w:r>
    </w:p>
    <w:p w14:paraId="39E56BB2" w14:textId="77777777" w:rsidR="00985308" w:rsidRPr="00FE6FB9" w:rsidRDefault="00985308" w:rsidP="00985308">
      <w:pPr>
        <w:numPr>
          <w:ilvl w:val="0"/>
          <w:numId w:val="9"/>
        </w:numPr>
      </w:pPr>
      <w:r w:rsidRPr="00FE6FB9">
        <w:t>Students will identify harm reduction strategies to reduce the likelihood and impact of negative consequences related to substance use, sexual activity, and other risky behaviors.</w:t>
      </w:r>
    </w:p>
    <w:p w14:paraId="31616488" w14:textId="77777777" w:rsidR="00985308" w:rsidRDefault="00985308" w:rsidP="00985308">
      <w:pPr>
        <w:numPr>
          <w:ilvl w:val="0"/>
          <w:numId w:val="9"/>
        </w:numPr>
      </w:pPr>
      <w:r w:rsidRPr="00FE6FB9">
        <w:t>Students will seek appropriate resources and support to assist with alcohol or drug concerns.</w:t>
      </w:r>
    </w:p>
    <w:p w14:paraId="005A7938" w14:textId="77777777" w:rsidR="00985308" w:rsidRDefault="00985308" w:rsidP="00985308">
      <w:pPr>
        <w:numPr>
          <w:ilvl w:val="0"/>
          <w:numId w:val="9"/>
        </w:numPr>
      </w:pPr>
      <w:r>
        <w:t>Students will identify the different societal influences that make an impact on their alcohol use.</w:t>
      </w:r>
    </w:p>
    <w:p w14:paraId="29E91B95" w14:textId="77777777" w:rsidR="00985308" w:rsidRPr="00FE6FB9" w:rsidRDefault="00985308" w:rsidP="00985308">
      <w:pPr>
        <w:numPr>
          <w:ilvl w:val="0"/>
          <w:numId w:val="9"/>
        </w:numPr>
      </w:pPr>
      <w:r>
        <w:t xml:space="preserve">Students will understand how their decisions around substance use contribute to the culture of the Wentworth community.  </w:t>
      </w:r>
    </w:p>
    <w:p w14:paraId="6ED3EC7C" w14:textId="77777777" w:rsidR="00985308" w:rsidRDefault="00985308" w:rsidP="00985308">
      <w:pPr>
        <w:numPr>
          <w:ilvl w:val="0"/>
          <w:numId w:val="9"/>
        </w:numPr>
      </w:pPr>
      <w:r w:rsidRPr="00FE6FB9">
        <w:t>Students will identify behaviors, situations and environments that hinder personal wellness.</w:t>
      </w:r>
    </w:p>
    <w:p w14:paraId="5324329A" w14:textId="77777777" w:rsidR="00985308" w:rsidRDefault="00985308" w:rsidP="00985308">
      <w:pPr>
        <w:numPr>
          <w:ilvl w:val="0"/>
          <w:numId w:val="9"/>
        </w:numPr>
      </w:pPr>
      <w:r>
        <w:t>Students will learn bystander intervention strategies</w:t>
      </w:r>
    </w:p>
    <w:p w14:paraId="2EB62AF8" w14:textId="77777777" w:rsidR="00985308" w:rsidRDefault="00985308" w:rsidP="00985308"/>
    <w:p w14:paraId="1D9B2A96" w14:textId="77777777" w:rsidR="00985308" w:rsidRPr="00340D54" w:rsidRDefault="00985308" w:rsidP="00985308">
      <w:pPr>
        <w:pStyle w:val="Heading2"/>
      </w:pPr>
      <w:bookmarkStart w:id="4" w:name="_Toc59379454"/>
      <w:r w:rsidRPr="00340D54">
        <w:t>ASSESSMENTS:</w:t>
      </w:r>
      <w:bookmarkEnd w:id="4"/>
    </w:p>
    <w:p w14:paraId="64BD82B3" w14:textId="77777777" w:rsidR="00985308" w:rsidRDefault="00985308" w:rsidP="00985308"/>
    <w:p w14:paraId="554BEE6F" w14:textId="5998FA52" w:rsidR="00985308" w:rsidRDefault="00985308" w:rsidP="00985308">
      <w:r w:rsidRPr="00D22FCC">
        <w:lastRenderedPageBreak/>
        <w:t>The</w:t>
      </w:r>
      <w:r>
        <w:t xml:space="preserve"> data that follows came from the 201</w:t>
      </w:r>
      <w:r w:rsidR="00D31C94">
        <w:t>9</w:t>
      </w:r>
      <w:r>
        <w:t xml:space="preserve"> ACHA-NCHA</w:t>
      </w:r>
      <w:r w:rsidR="00152938">
        <w:t xml:space="preserve"> III</w:t>
      </w:r>
      <w:r>
        <w:t xml:space="preserve"> survey that was conducted. There was a total of </w:t>
      </w:r>
      <w:r w:rsidR="0024344E">
        <w:t>266</w:t>
      </w:r>
      <w:r>
        <w:t xml:space="preserve"> individuals who participated in the assessment</w:t>
      </w:r>
      <w:r w:rsidR="0024344E">
        <w:t xml:space="preserve"> which is a 7 percent response rate. (this was lower than the median response rate of other participating schools of 12 percent.)</w:t>
      </w:r>
    </w:p>
    <w:p w14:paraId="00B201AA" w14:textId="47F67794" w:rsidR="0024344E" w:rsidRDefault="0024344E" w:rsidP="00985308"/>
    <w:p w14:paraId="555631AC" w14:textId="47EC641C" w:rsidR="0024344E" w:rsidRDefault="0024344E" w:rsidP="00985308">
      <w:r>
        <w:t>Compared to other ACHA-NCHA schools</w:t>
      </w:r>
      <w:r w:rsidR="005C002E">
        <w:t xml:space="preserve"> surveyed</w:t>
      </w:r>
      <w:r>
        <w:t>, Wentworth students were significantly more likely to have tried marijuana and significantly less likely to have tried alcohol</w:t>
      </w:r>
    </w:p>
    <w:p w14:paraId="189BB083" w14:textId="7C935995" w:rsidR="0024344E" w:rsidRDefault="0024344E" w:rsidP="00985308"/>
    <w:p w14:paraId="0378B269" w14:textId="77777777" w:rsidR="001F3452" w:rsidRDefault="0024344E" w:rsidP="00985308">
      <w:r w:rsidRPr="0024344E">
        <w:rPr>
          <w:noProof/>
        </w:rPr>
        <w:drawing>
          <wp:inline distT="0" distB="0" distL="0" distR="0" wp14:anchorId="30522FFF" wp14:editId="33B9000B">
            <wp:extent cx="2979390" cy="2335954"/>
            <wp:effectExtent l="0" t="0" r="0" b="7620"/>
            <wp:docPr id="27" name="Picture 27" descr="Graph showing significance of Wentworth students likeliness to use substances compared to other schools&#10;8.2% less likely to try alcohol &#10;3.6% less likely to try cigarettes and vapes&#10;7.1% more likely to try mariju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 showing significance of Wentworth students likeliness to use substances compared to other schools&#10;8.2% less likely to try alcohol &#10;3.6% less likely to try cigarettes and vapes&#10;7.1% more likely to try marijuana "/>
                    <pic:cNvPicPr/>
                  </pic:nvPicPr>
                  <pic:blipFill>
                    <a:blip r:embed="rId9"/>
                    <a:stretch>
                      <a:fillRect/>
                    </a:stretch>
                  </pic:blipFill>
                  <pic:spPr>
                    <a:xfrm>
                      <a:off x="0" y="0"/>
                      <a:ext cx="3000145" cy="2352227"/>
                    </a:xfrm>
                    <a:prstGeom prst="rect">
                      <a:avLst/>
                    </a:prstGeom>
                  </pic:spPr>
                </pic:pic>
              </a:graphicData>
            </a:graphic>
          </wp:inline>
        </w:drawing>
      </w:r>
    </w:p>
    <w:p w14:paraId="51402D80" w14:textId="4BEF34C8" w:rsidR="001F3452" w:rsidRDefault="00152938" w:rsidP="00985308">
      <w:r>
        <w:t xml:space="preserve">Within the survey, students were asked “In your life, which of the following substances have you ever used?”. For Alcoholic Beverages, 63% said yes. For Cigarettes and Vaping, 27.4% said yes, and for Cannabis, 41.1% said yes, they have tried this substance. </w:t>
      </w:r>
    </w:p>
    <w:p w14:paraId="50758201" w14:textId="3C58D44B" w:rsidR="00152938" w:rsidRDefault="00152938" w:rsidP="00985308"/>
    <w:p w14:paraId="36D502CF" w14:textId="40BBF084" w:rsidR="00AE42AE" w:rsidRDefault="00AE42AE" w:rsidP="00985308">
      <w:r>
        <w:t>Of those who tried these substances, the survey inquired about the frequency of use within the past three months. Those results are listed here:</w:t>
      </w:r>
    </w:p>
    <w:p w14:paraId="28A77C50" w14:textId="77777777" w:rsidR="00AE42AE" w:rsidRDefault="00AE42AE" w:rsidP="00985308"/>
    <w:p w14:paraId="77F347FB" w14:textId="45972E5C" w:rsidR="001F3452" w:rsidRDefault="00AE42AE" w:rsidP="00985308">
      <w:r w:rsidRPr="00AE42AE">
        <w:drawing>
          <wp:inline distT="0" distB="0" distL="0" distR="0" wp14:anchorId="53DA4FAB" wp14:editId="40A552AB">
            <wp:extent cx="6858000" cy="1475740"/>
            <wp:effectExtent l="0" t="0" r="0" b="0"/>
            <wp:docPr id="2" name="Picture 2" descr="A screenshot from the survey with the question and results&#10;&#10;Question- In the past three months, how often have you used alcoholic beverages? (only includes students who have ever used this substance)&#10;&#10;Never, 4.2%. Once or twice, 25.3%. Monthly, 25.3%. Weekly, 40.4%. Daily or almost daily,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from the survey with the question and results&#10;&#10;Question- In the past three months, how often have you used alcoholic beverages? (only includes students who have ever used this substance)&#10;&#10;Never, 4.2%. Once or twice, 25.3%. Monthly, 25.3%. Weekly, 40.4%. Daily or almost daily, 4.8%."/>
                    <pic:cNvPicPr/>
                  </pic:nvPicPr>
                  <pic:blipFill>
                    <a:blip r:embed="rId10"/>
                    <a:stretch>
                      <a:fillRect/>
                    </a:stretch>
                  </pic:blipFill>
                  <pic:spPr>
                    <a:xfrm>
                      <a:off x="0" y="0"/>
                      <a:ext cx="6858000" cy="1475740"/>
                    </a:xfrm>
                    <a:prstGeom prst="rect">
                      <a:avLst/>
                    </a:prstGeom>
                  </pic:spPr>
                </pic:pic>
              </a:graphicData>
            </a:graphic>
          </wp:inline>
        </w:drawing>
      </w:r>
      <w:r w:rsidRPr="00AE42AE">
        <w:drawing>
          <wp:inline distT="0" distB="0" distL="0" distR="0" wp14:anchorId="34D687C2" wp14:editId="010226CE">
            <wp:extent cx="6858000" cy="1587500"/>
            <wp:effectExtent l="0" t="0" r="0" b="0"/>
            <wp:docPr id="1" name="Picture 1" descr="A screenshot from the survey with the question and results&#10;&#10;Question- In the past three months, how often have you used tobacco or nicotine delivery products? (only includes students who have ever used this substance)&#10;&#10;Never, 28.8%. Once or twice, 27.4%. Monthly, 8.2%. Weekly, 13.7%. Daily or almost daily,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from the survey with the question and results&#10;&#10;Question- In the past three months, how often have you used tobacco or nicotine delivery products? (only includes students who have ever used this substance)&#10;&#10;Never, 28.8%. Once or twice, 27.4%. Monthly, 8.2%. Weekly, 13.7%. Daily or almost daily, 21.9%."/>
                    <pic:cNvPicPr/>
                  </pic:nvPicPr>
                  <pic:blipFill>
                    <a:blip r:embed="rId11"/>
                    <a:stretch>
                      <a:fillRect/>
                    </a:stretch>
                  </pic:blipFill>
                  <pic:spPr>
                    <a:xfrm>
                      <a:off x="0" y="0"/>
                      <a:ext cx="6858000" cy="1587500"/>
                    </a:xfrm>
                    <a:prstGeom prst="rect">
                      <a:avLst/>
                    </a:prstGeom>
                  </pic:spPr>
                </pic:pic>
              </a:graphicData>
            </a:graphic>
          </wp:inline>
        </w:drawing>
      </w:r>
    </w:p>
    <w:p w14:paraId="051DC18F" w14:textId="20D341FD" w:rsidR="00AE42AE" w:rsidRDefault="00AE42AE" w:rsidP="00985308">
      <w:r w:rsidRPr="00AE42AE">
        <w:lastRenderedPageBreak/>
        <w:drawing>
          <wp:inline distT="0" distB="0" distL="0" distR="0" wp14:anchorId="230988C7" wp14:editId="1599900E">
            <wp:extent cx="6858000" cy="1464945"/>
            <wp:effectExtent l="0" t="0" r="0" b="1905"/>
            <wp:docPr id="4" name="Picture 4" descr="A screenshot from the survey with the question and results&#10;&#10;Question- In the past three months, how often have you used Cannabis? (only includes students who have ever used this substance)&#10;&#10;Never, 25%. Once or twice, 28.7%. Monthly, 10.5%. Weekly, 15.7%. Daily or almost daily,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from the survey with the question and results&#10;&#10;Question- In the past three months, how often have you used Cannabis? (only includes students who have ever used this substance)&#10;&#10;Never, 25%. Once or twice, 28.7%. Monthly, 10.5%. Weekly, 15.7%. Daily or almost daily, 20.4%."/>
                    <pic:cNvPicPr/>
                  </pic:nvPicPr>
                  <pic:blipFill>
                    <a:blip r:embed="rId12"/>
                    <a:stretch>
                      <a:fillRect/>
                    </a:stretch>
                  </pic:blipFill>
                  <pic:spPr>
                    <a:xfrm>
                      <a:off x="0" y="0"/>
                      <a:ext cx="6858000" cy="1464945"/>
                    </a:xfrm>
                    <a:prstGeom prst="rect">
                      <a:avLst/>
                    </a:prstGeom>
                  </pic:spPr>
                </pic:pic>
              </a:graphicData>
            </a:graphic>
          </wp:inline>
        </w:drawing>
      </w:r>
    </w:p>
    <w:p w14:paraId="3F1593EC" w14:textId="3DC42153" w:rsidR="001F3452" w:rsidRDefault="001F3452" w:rsidP="00985308"/>
    <w:p w14:paraId="5E7E6A7B" w14:textId="4F7E6BED" w:rsidR="00985308" w:rsidRDefault="00985308" w:rsidP="00985308">
      <w:r w:rsidRPr="00736A18">
        <w:t>Assessment on WOW presentation:</w:t>
      </w:r>
    </w:p>
    <w:p w14:paraId="1968AE4E" w14:textId="3DA37E36" w:rsidR="00C01527" w:rsidRDefault="00C01527" w:rsidP="00C01527"/>
    <w:p w14:paraId="29BE4B59" w14:textId="52A8FD8B" w:rsidR="00F8199C" w:rsidRDefault="00F8199C" w:rsidP="00F8199C">
      <w:r>
        <w:t>During WOW</w:t>
      </w:r>
      <w:r w:rsidR="00826D38">
        <w:t>, t</w:t>
      </w:r>
      <w:r>
        <w:t xml:space="preserve">he Assistant Director of Health Promotion and Education presented to the incoming class of students (description of program listed above in </w:t>
      </w:r>
      <w:hyperlink w:anchor="_Description_of_the" w:history="1">
        <w:r w:rsidRPr="00826D38">
          <w:rPr>
            <w:rStyle w:val="Hyperlink"/>
            <w:b/>
          </w:rPr>
          <w:t>Descript</w:t>
        </w:r>
        <w:r w:rsidRPr="00826D38">
          <w:rPr>
            <w:rStyle w:val="Hyperlink"/>
            <w:b/>
          </w:rPr>
          <w:t>i</w:t>
        </w:r>
        <w:r w:rsidRPr="00826D38">
          <w:rPr>
            <w:rStyle w:val="Hyperlink"/>
            <w:b/>
          </w:rPr>
          <w:t>on of the AOD program elements</w:t>
        </w:r>
      </w:hyperlink>
      <w:r>
        <w:rPr>
          <w:b/>
        </w:rPr>
        <w:t xml:space="preserve">). </w:t>
      </w:r>
      <w:r>
        <w:t xml:space="preserve">The goal is to provide students with alcohol and other drug education as well as to get students to think more critically about their decision-making models learned and how it relates to their college experience. </w:t>
      </w:r>
    </w:p>
    <w:p w14:paraId="442DBD27" w14:textId="77777777" w:rsidR="00F8199C" w:rsidRDefault="00F8199C" w:rsidP="00C01527"/>
    <w:p w14:paraId="30567814" w14:textId="767A6804" w:rsidR="00C01527" w:rsidRDefault="00C01527" w:rsidP="00C01527">
      <w:r>
        <w:t xml:space="preserve">Students were surveyed from WOW presentations held in 2019 and in 2020 to evaluate their understanding of the content and material. In 2019 we had 341 student responses. In 2020 we had 92 responses. There is speculation that the presentations being virtual and the survey being virtual </w:t>
      </w:r>
      <w:r w:rsidR="00826D38">
        <w:t xml:space="preserve">led to </w:t>
      </w:r>
      <w:r w:rsidR="005C002E">
        <w:t>this</w:t>
      </w:r>
      <w:r w:rsidR="00826D38">
        <w:t xml:space="preserve"> decrease in survey response. </w:t>
      </w:r>
    </w:p>
    <w:p w14:paraId="39B992C3" w14:textId="3C12B13B" w:rsidR="00C01527" w:rsidRDefault="00C01527" w:rsidP="00985308"/>
    <w:p w14:paraId="6CDC3899" w14:textId="200B6D4E" w:rsidR="00C01527" w:rsidRDefault="00C01527" w:rsidP="00985308">
      <w:r>
        <w:t xml:space="preserve">In 2019, students were asked “Because of the Alcohol and Drug Education program, I am more likely to make informed decisions about alcohol use”. </w:t>
      </w:r>
    </w:p>
    <w:p w14:paraId="2ABD221D" w14:textId="77777777" w:rsidR="00C01527" w:rsidRDefault="00C01527" w:rsidP="00C01527">
      <w:r>
        <w:t>The results were:</w:t>
      </w:r>
    </w:p>
    <w:p w14:paraId="34D28B2D" w14:textId="77777777" w:rsidR="00C01527" w:rsidRDefault="00C01527" w:rsidP="00C01527"/>
    <w:p w14:paraId="0C32129F" w14:textId="57FA1634" w:rsidR="00C01527" w:rsidRDefault="00C01527" w:rsidP="00C01527">
      <w:pPr>
        <w:pStyle w:val="ListParagraph"/>
        <w:numPr>
          <w:ilvl w:val="0"/>
          <w:numId w:val="21"/>
        </w:numPr>
      </w:pPr>
      <w:r>
        <w:t>Strongly Agree- 40.47%</w:t>
      </w:r>
    </w:p>
    <w:p w14:paraId="780105FF" w14:textId="4F2FD740" w:rsidR="00C01527" w:rsidRDefault="00C01527" w:rsidP="00C01527">
      <w:pPr>
        <w:pStyle w:val="ListParagraph"/>
        <w:numPr>
          <w:ilvl w:val="0"/>
          <w:numId w:val="21"/>
        </w:numPr>
      </w:pPr>
      <w:r>
        <w:t>Agree- 43.11%</w:t>
      </w:r>
    </w:p>
    <w:p w14:paraId="5A4FF63B" w14:textId="391B4E6F" w:rsidR="00C01527" w:rsidRDefault="00C01527" w:rsidP="00C01527">
      <w:pPr>
        <w:pStyle w:val="ListParagraph"/>
        <w:numPr>
          <w:ilvl w:val="0"/>
          <w:numId w:val="21"/>
        </w:numPr>
      </w:pPr>
      <w:r>
        <w:t>Disagree- 11.14%</w:t>
      </w:r>
    </w:p>
    <w:p w14:paraId="48A6132B" w14:textId="16069D1D" w:rsidR="00C01527" w:rsidRDefault="00C01527" w:rsidP="00C01527">
      <w:pPr>
        <w:pStyle w:val="ListParagraph"/>
        <w:numPr>
          <w:ilvl w:val="0"/>
          <w:numId w:val="21"/>
        </w:numPr>
      </w:pPr>
      <w:r>
        <w:t xml:space="preserve">Strongly Disagree- 4.4% </w:t>
      </w:r>
    </w:p>
    <w:p w14:paraId="263A3B61" w14:textId="37021765" w:rsidR="00C01527" w:rsidRDefault="00C01527" w:rsidP="00C01527">
      <w:pPr>
        <w:pStyle w:val="ListParagraph"/>
        <w:numPr>
          <w:ilvl w:val="0"/>
          <w:numId w:val="21"/>
        </w:numPr>
      </w:pPr>
      <w:r>
        <w:t>Did not attend- .88%</w:t>
      </w:r>
    </w:p>
    <w:p w14:paraId="2FDC1FCF" w14:textId="77777777" w:rsidR="00C01527" w:rsidRDefault="00C01527" w:rsidP="00985308"/>
    <w:p w14:paraId="46A7345D" w14:textId="681EB4CE" w:rsidR="00C01527" w:rsidRDefault="00C01527" w:rsidP="00C01527">
      <w:r>
        <w:t xml:space="preserve">In 2020, students were asked “Because of the Health and Wellness program, I am more likely to make informed decisions about alcohol use”. </w:t>
      </w:r>
    </w:p>
    <w:p w14:paraId="1790A396" w14:textId="77777777" w:rsidR="00C01527" w:rsidRDefault="00C01527" w:rsidP="00C01527">
      <w:r>
        <w:t>The results were:</w:t>
      </w:r>
    </w:p>
    <w:p w14:paraId="22E07621" w14:textId="77777777" w:rsidR="00C01527" w:rsidRDefault="00C01527" w:rsidP="00C01527"/>
    <w:p w14:paraId="18209227" w14:textId="0B9F2270" w:rsidR="00C01527" w:rsidRDefault="00C01527" w:rsidP="00C01527">
      <w:pPr>
        <w:pStyle w:val="ListParagraph"/>
        <w:numPr>
          <w:ilvl w:val="0"/>
          <w:numId w:val="21"/>
        </w:numPr>
      </w:pPr>
      <w:r>
        <w:t>Strongly Agree- 46.74%</w:t>
      </w:r>
    </w:p>
    <w:p w14:paraId="3493A48E" w14:textId="0692FFA6" w:rsidR="00C01527" w:rsidRDefault="00C01527" w:rsidP="00C01527">
      <w:pPr>
        <w:pStyle w:val="ListParagraph"/>
        <w:numPr>
          <w:ilvl w:val="0"/>
          <w:numId w:val="21"/>
        </w:numPr>
      </w:pPr>
      <w:r>
        <w:t>Agree- 44.571%</w:t>
      </w:r>
    </w:p>
    <w:p w14:paraId="1F1CB2E1" w14:textId="03902E6D" w:rsidR="00C01527" w:rsidRDefault="00C01527" w:rsidP="00C01527">
      <w:pPr>
        <w:pStyle w:val="ListParagraph"/>
        <w:numPr>
          <w:ilvl w:val="0"/>
          <w:numId w:val="21"/>
        </w:numPr>
      </w:pPr>
      <w:r>
        <w:t>Disagree- 4.35%</w:t>
      </w:r>
    </w:p>
    <w:p w14:paraId="2B072CAB" w14:textId="0EA972F0" w:rsidR="00C01527" w:rsidRDefault="00C01527" w:rsidP="00C01527">
      <w:pPr>
        <w:pStyle w:val="ListParagraph"/>
        <w:numPr>
          <w:ilvl w:val="0"/>
          <w:numId w:val="21"/>
        </w:numPr>
      </w:pPr>
      <w:r>
        <w:t xml:space="preserve">Strongly Disagree- 1.09% </w:t>
      </w:r>
    </w:p>
    <w:p w14:paraId="4D49682C" w14:textId="030580C0" w:rsidR="00C01527" w:rsidRDefault="00C01527" w:rsidP="00C01527">
      <w:pPr>
        <w:pStyle w:val="ListParagraph"/>
        <w:numPr>
          <w:ilvl w:val="0"/>
          <w:numId w:val="21"/>
        </w:numPr>
      </w:pPr>
      <w:r>
        <w:t xml:space="preserve">Did not attend- </w:t>
      </w:r>
      <w:r w:rsidR="004952EC">
        <w:t>3.26</w:t>
      </w:r>
      <w:r>
        <w:t>%</w:t>
      </w:r>
    </w:p>
    <w:p w14:paraId="1F58E7CA" w14:textId="77777777" w:rsidR="00C01527" w:rsidRDefault="00C01527" w:rsidP="00985308"/>
    <w:p w14:paraId="5A48CF08" w14:textId="77777777" w:rsidR="00985308" w:rsidRDefault="00985308" w:rsidP="00985308"/>
    <w:p w14:paraId="363B5D31" w14:textId="71B8B01F" w:rsidR="00985308" w:rsidRDefault="00985308" w:rsidP="00985308">
      <w:r>
        <w:t xml:space="preserve">Overall, results show this presentation initiative has high impact on students and has been beneficial in getting them to think critically about their decision making on alcohol and other drugs. </w:t>
      </w:r>
      <w:r w:rsidR="00F8199C">
        <w:t xml:space="preserve">It also shows that with each year, as content is adapted, the program becomes more efficient </w:t>
      </w:r>
      <w:r w:rsidR="004741C0">
        <w:t xml:space="preserve">in </w:t>
      </w:r>
      <w:r w:rsidR="00592DBE">
        <w:t xml:space="preserve">serving its goal. </w:t>
      </w:r>
    </w:p>
    <w:p w14:paraId="1E73013C" w14:textId="77777777" w:rsidR="00985308" w:rsidRDefault="00985308" w:rsidP="00985308"/>
    <w:p w14:paraId="3DB6D205" w14:textId="77777777" w:rsidR="00985308" w:rsidRPr="00230AE5" w:rsidRDefault="00985308" w:rsidP="00985308">
      <w:pPr>
        <w:pStyle w:val="Heading1"/>
      </w:pPr>
      <w:bookmarkStart w:id="5" w:name="_Toc59379455"/>
      <w:r w:rsidRPr="009C7F1F">
        <w:lastRenderedPageBreak/>
        <w:t>Procedures for Distributing annual AOD notifications to students and employees</w:t>
      </w:r>
      <w:bookmarkEnd w:id="5"/>
    </w:p>
    <w:p w14:paraId="29A3D2A6" w14:textId="77777777" w:rsidR="00985308" w:rsidRPr="00F206E0" w:rsidRDefault="00985308" w:rsidP="00985308"/>
    <w:p w14:paraId="3AAD373F" w14:textId="50B0CFDC" w:rsidR="007B30F4" w:rsidRDefault="00985308" w:rsidP="00985308">
      <w:r w:rsidRPr="00C34292">
        <w:t>The alcohol and drug polic</w:t>
      </w:r>
      <w:r w:rsidR="009C7F1F">
        <w:t>ies</w:t>
      </w:r>
      <w:r w:rsidRPr="00C34292">
        <w:t xml:space="preserve"> </w:t>
      </w:r>
      <w:r w:rsidR="009C7F1F">
        <w:t xml:space="preserve">are </w:t>
      </w:r>
      <w:r w:rsidRPr="00C34292">
        <w:t>o</w:t>
      </w:r>
      <w:r>
        <w:t xml:space="preserve">utlined </w:t>
      </w:r>
      <w:r w:rsidR="00ED5D8D">
        <w:t>on</w:t>
      </w:r>
      <w:r>
        <w:t xml:space="preserve"> the</w:t>
      </w:r>
      <w:r w:rsidR="007B30F4">
        <w:t xml:space="preserve"> website that is update regularly. Students are notified of how to access this policy upon arrival to the school in their incoming </w:t>
      </w:r>
      <w:r w:rsidR="00ED5D8D">
        <w:t>3</w:t>
      </w:r>
      <w:r w:rsidR="00ED5D8D" w:rsidRPr="00ED5D8D">
        <w:rPr>
          <w:vertAlign w:val="superscript"/>
        </w:rPr>
        <w:t>rd</w:t>
      </w:r>
      <w:r w:rsidR="00ED5D8D">
        <w:t xml:space="preserve"> Millennium and EVERFI </w:t>
      </w:r>
      <w:r w:rsidR="007B30F4">
        <w:t xml:space="preserve">courses, through presentations put on by Student Affairs and Conduct, and through entry emails. </w:t>
      </w:r>
      <w:r w:rsidR="009C7F1F">
        <w:t>Students are told that the website on policies are updated regularly and are recommended to review the website for changes.</w:t>
      </w:r>
    </w:p>
    <w:p w14:paraId="09C4D6C2" w14:textId="77777777" w:rsidR="00985308" w:rsidRDefault="00985308" w:rsidP="00985308"/>
    <w:p w14:paraId="5F6F8659" w14:textId="0C8703A4" w:rsidR="00985308" w:rsidRPr="007F1C7A" w:rsidRDefault="009C7F1F" w:rsidP="00985308">
      <w:r>
        <w:t>Employees have access to the Policies through the website</w:t>
      </w:r>
      <w:r w:rsidR="00ED5D8D">
        <w:t>. I</w:t>
      </w:r>
      <w:r>
        <w:t xml:space="preserve">nformation is outlined </w:t>
      </w:r>
      <w:r w:rsidR="00ED5D8D">
        <w:t>during their</w:t>
      </w:r>
      <w:r>
        <w:t xml:space="preserve"> onboarding</w:t>
      </w:r>
      <w:r w:rsidR="00ED5D8D">
        <w:t xml:space="preserve"> process</w:t>
      </w:r>
      <w:r>
        <w:t xml:space="preserve">. Employees are told that the </w:t>
      </w:r>
      <w:r w:rsidRPr="007F1C7A">
        <w:t>website on policies are updated regularly and are recommended to review the website for changes.</w:t>
      </w:r>
    </w:p>
    <w:p w14:paraId="5481F52C" w14:textId="77777777" w:rsidR="00985308" w:rsidRPr="00230AE5" w:rsidRDefault="00985308" w:rsidP="00985308">
      <w:pPr>
        <w:pStyle w:val="Heading1"/>
      </w:pPr>
      <w:bookmarkStart w:id="6" w:name="_Toc59379456"/>
      <w:r w:rsidRPr="007F1C7A">
        <w:t>Copies of the Polies Distributed to students and employees</w:t>
      </w:r>
      <w:bookmarkEnd w:id="6"/>
    </w:p>
    <w:p w14:paraId="18A787F5" w14:textId="77777777" w:rsidR="00985308" w:rsidRDefault="00985308" w:rsidP="00985308"/>
    <w:p w14:paraId="6E1775DA" w14:textId="4FF8DD5D" w:rsidR="00985308" w:rsidRPr="007F1C7A" w:rsidRDefault="00985308" w:rsidP="007F1C7A">
      <w:pPr>
        <w:shd w:val="clear" w:color="auto" w:fill="FFFFFF"/>
        <w:rPr>
          <w:rFonts w:eastAsiaTheme="minorHAnsi"/>
          <w:color w:val="000000"/>
          <w:lang w:eastAsia="en-US"/>
        </w:rPr>
      </w:pPr>
      <w:r>
        <w:t xml:space="preserve">The Policies are reviewed consistently. With the online access to policy and procedure, students, staff, and faculty have real-time access to any updates made. </w:t>
      </w:r>
      <w:r w:rsidR="007F1C7A">
        <w:t>Assistant Director for Health Promotion and Education</w:t>
      </w:r>
      <w:r>
        <w:t xml:space="preserve">, </w:t>
      </w:r>
      <w:r w:rsidR="007F1C7A">
        <w:rPr>
          <w:color w:val="000000"/>
        </w:rPr>
        <w:t>Assistant Director for Student Affairs and Conduct</w:t>
      </w:r>
      <w:r>
        <w:t>, and Assistant Dean of Students collaborate to discuss shift in policy and how it relates to sanctioning as well as the educational processes.</w:t>
      </w:r>
      <w:r w:rsidRPr="007F4F57">
        <w:t xml:space="preserve"> </w:t>
      </w:r>
    </w:p>
    <w:p w14:paraId="151120B6" w14:textId="77777777" w:rsidR="00985308" w:rsidRDefault="00985308" w:rsidP="00985308">
      <w:pPr>
        <w:pStyle w:val="Heading1"/>
      </w:pPr>
      <w:bookmarkStart w:id="7" w:name="_Toc59379457"/>
      <w:r w:rsidRPr="000B3AE8">
        <w:t>Specific Policies in place</w:t>
      </w:r>
      <w:bookmarkEnd w:id="7"/>
    </w:p>
    <w:p w14:paraId="4D20AAFA" w14:textId="77777777" w:rsidR="00985308" w:rsidRPr="00F60FB1" w:rsidRDefault="00985308" w:rsidP="00985308">
      <w:pPr>
        <w:pStyle w:val="Heading2"/>
      </w:pPr>
      <w:bookmarkStart w:id="8" w:name="_Toc59379458"/>
      <w:r w:rsidRPr="00F60FB1">
        <w:t xml:space="preserve">Consistency </w:t>
      </w:r>
      <w:r>
        <w:t>in</w:t>
      </w:r>
      <w:r w:rsidRPr="00F60FB1">
        <w:t xml:space="preserve"> Implementation of </w:t>
      </w:r>
      <w:r>
        <w:t>Policy:</w:t>
      </w:r>
      <w:bookmarkEnd w:id="8"/>
    </w:p>
    <w:p w14:paraId="794C0FE2" w14:textId="77777777" w:rsidR="00985308" w:rsidRDefault="00985308" w:rsidP="00985308"/>
    <w:p w14:paraId="760A53D9" w14:textId="77777777" w:rsidR="00985308" w:rsidRDefault="00985308" w:rsidP="00985308">
      <w:r>
        <w:t>Sanction Deadlines:</w:t>
      </w:r>
    </w:p>
    <w:p w14:paraId="053FAAB1" w14:textId="77777777" w:rsidR="00985308" w:rsidRPr="003A74F9" w:rsidRDefault="00985308" w:rsidP="00985308">
      <w:pPr>
        <w:pStyle w:val="ListParagraph"/>
        <w:numPr>
          <w:ilvl w:val="0"/>
          <w:numId w:val="20"/>
        </w:numPr>
        <w:spacing w:line="259" w:lineRule="auto"/>
      </w:pPr>
      <w:r w:rsidRPr="003A74F9">
        <w:t xml:space="preserve">Alcohol/Drug Education class – 1 week after next scheduled class </w:t>
      </w:r>
    </w:p>
    <w:p w14:paraId="7683E957" w14:textId="77777777" w:rsidR="00985308" w:rsidRPr="003A74F9" w:rsidRDefault="00985308" w:rsidP="00985308">
      <w:pPr>
        <w:pStyle w:val="ListParagraph"/>
        <w:numPr>
          <w:ilvl w:val="0"/>
          <w:numId w:val="20"/>
        </w:numPr>
        <w:spacing w:line="259" w:lineRule="auto"/>
      </w:pPr>
      <w:r w:rsidRPr="003A74F9">
        <w:t xml:space="preserve">Individual Alcohol/Drug Session – 2 weeks </w:t>
      </w:r>
    </w:p>
    <w:p w14:paraId="3D9BB2C8" w14:textId="77777777" w:rsidR="00985308" w:rsidRPr="003A74F9" w:rsidRDefault="00985308" w:rsidP="00985308">
      <w:pPr>
        <w:pStyle w:val="ListParagraph"/>
        <w:numPr>
          <w:ilvl w:val="0"/>
          <w:numId w:val="20"/>
        </w:numPr>
        <w:spacing w:line="259" w:lineRule="auto"/>
      </w:pPr>
      <w:r w:rsidRPr="003A74F9">
        <w:t xml:space="preserve">Community (Mission Hill) Restitution (10 hours) – 5 weeks </w:t>
      </w:r>
    </w:p>
    <w:p w14:paraId="19266605" w14:textId="77777777" w:rsidR="00985308" w:rsidRPr="003A74F9" w:rsidRDefault="00985308" w:rsidP="00985308">
      <w:pPr>
        <w:pStyle w:val="ListParagraph"/>
        <w:numPr>
          <w:ilvl w:val="0"/>
          <w:numId w:val="20"/>
        </w:numPr>
        <w:spacing w:line="259" w:lineRule="auto"/>
      </w:pPr>
      <w:r w:rsidRPr="003A74F9">
        <w:t xml:space="preserve">Educational sanctions (papers, projects, </w:t>
      </w:r>
      <w:proofErr w:type="gramStart"/>
      <w:r w:rsidRPr="003A74F9">
        <w:t>health</w:t>
      </w:r>
      <w:proofErr w:type="gramEnd"/>
      <w:r w:rsidRPr="003A74F9">
        <w:t xml:space="preserve"> and safety) – 2 weeks </w:t>
      </w:r>
    </w:p>
    <w:p w14:paraId="71248C9B" w14:textId="77777777" w:rsidR="00985308" w:rsidRPr="003A74F9" w:rsidRDefault="00985308" w:rsidP="00985308">
      <w:pPr>
        <w:pStyle w:val="ListParagraph"/>
        <w:numPr>
          <w:ilvl w:val="0"/>
          <w:numId w:val="20"/>
        </w:numPr>
        <w:spacing w:line="259" w:lineRule="auto"/>
      </w:pPr>
      <w:r w:rsidRPr="003A74F9">
        <w:t xml:space="preserve">Probation/Suspension of Guest Privileges – minimum of semester </w:t>
      </w:r>
    </w:p>
    <w:p w14:paraId="2232F864" w14:textId="77777777" w:rsidR="00985308" w:rsidRPr="003A74F9" w:rsidRDefault="00985308" w:rsidP="00985308">
      <w:pPr>
        <w:pStyle w:val="ListParagraph"/>
        <w:numPr>
          <w:ilvl w:val="0"/>
          <w:numId w:val="20"/>
        </w:numPr>
        <w:spacing w:line="259" w:lineRule="auto"/>
      </w:pPr>
      <w:r w:rsidRPr="003A74F9">
        <w:t xml:space="preserve">Suspension of Responsible User Status – minimum 4 weeks for over maximum quantity/hard alcohol, minimum 8 weeks if the student is found responsible for providing a location to minors provided location for minors. </w:t>
      </w:r>
    </w:p>
    <w:p w14:paraId="186FE554" w14:textId="77777777" w:rsidR="00985308" w:rsidRPr="003A74F9" w:rsidRDefault="00985308" w:rsidP="00985308">
      <w:pPr>
        <w:pStyle w:val="ListParagraph"/>
        <w:numPr>
          <w:ilvl w:val="0"/>
          <w:numId w:val="20"/>
        </w:numPr>
        <w:spacing w:line="259" w:lineRule="auto"/>
      </w:pPr>
      <w:r w:rsidRPr="003A74F9">
        <w:t xml:space="preserve">FYE Planning Meeting – 3 weeks </w:t>
      </w:r>
    </w:p>
    <w:p w14:paraId="17BD888E" w14:textId="77777777" w:rsidR="00985308" w:rsidRPr="003A74F9" w:rsidRDefault="00985308" w:rsidP="00985308">
      <w:pPr>
        <w:pStyle w:val="ListParagraph"/>
        <w:numPr>
          <w:ilvl w:val="0"/>
          <w:numId w:val="20"/>
        </w:numPr>
        <w:spacing w:line="259" w:lineRule="auto"/>
      </w:pPr>
      <w:r w:rsidRPr="003A74F9">
        <w:t>Housing Suspension Alternative – 1 week</w:t>
      </w:r>
    </w:p>
    <w:p w14:paraId="5D2C7C89" w14:textId="77777777" w:rsidR="00985308" w:rsidRPr="00F60FB1" w:rsidRDefault="00985308" w:rsidP="00985308">
      <w:pPr>
        <w:pStyle w:val="Heading2"/>
      </w:pPr>
      <w:bookmarkStart w:id="9" w:name="_Toc59379459"/>
      <w:r>
        <w:t>Policy:</w:t>
      </w:r>
      <w:bookmarkEnd w:id="9"/>
    </w:p>
    <w:p w14:paraId="0EB28284" w14:textId="77777777" w:rsidR="00985308" w:rsidRDefault="00985308" w:rsidP="00985308"/>
    <w:p w14:paraId="7145C742" w14:textId="77777777" w:rsidR="00985308" w:rsidRPr="00230AE5" w:rsidRDefault="00985308" w:rsidP="00985308">
      <w:pPr>
        <w:pStyle w:val="Heading3"/>
      </w:pPr>
      <w:bookmarkStart w:id="10" w:name="_Toc59379460"/>
      <w:r w:rsidRPr="007105D5">
        <w:t>Alcohol</w:t>
      </w:r>
      <w:r w:rsidRPr="00230AE5">
        <w:t>:</w:t>
      </w:r>
      <w:bookmarkEnd w:id="10"/>
    </w:p>
    <w:p w14:paraId="0B15496D"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The University expects students to abide by Massachusetts law and the increased standards set forth by the University. The University reserves the right to inspect any bags, backpacks, or other belongings for alcohol.  </w:t>
      </w:r>
    </w:p>
    <w:p w14:paraId="4AAE8648" w14:textId="77777777" w:rsidR="00FF2D37" w:rsidRDefault="00FF2D37" w:rsidP="00FF2D37">
      <w:pPr>
        <w:pStyle w:val="NormalWeb"/>
        <w:shd w:val="clear" w:color="auto" w:fill="FFFFFF"/>
        <w:rPr>
          <w:rFonts w:ascii="Open Sans" w:hAnsi="Open Sans"/>
          <w:color w:val="000000"/>
        </w:rPr>
      </w:pPr>
      <w:r>
        <w:rPr>
          <w:rStyle w:val="Strong"/>
          <w:rFonts w:ascii="Open Sans" w:hAnsi="Open Sans"/>
          <w:color w:val="000000"/>
        </w:rPr>
        <w:t>All students, whether on campus or off-campus, are expected to abide by the following:</w:t>
      </w:r>
      <w:r>
        <w:rPr>
          <w:rFonts w:ascii="Open Sans" w:hAnsi="Open Sans"/>
          <w:color w:val="000000"/>
        </w:rPr>
        <w:t> </w:t>
      </w:r>
    </w:p>
    <w:p w14:paraId="24624E07"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lastRenderedPageBreak/>
        <w:t>1.1 Only students 21 years or older may consume, possess, and/or transport alcohol. </w:t>
      </w:r>
    </w:p>
    <w:p w14:paraId="6A581C29"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1.2 The sale, purchase, or serving alcoholic beverages to persons younger than 21 years old is not permitted.  </w:t>
      </w:r>
    </w:p>
    <w:p w14:paraId="513D44E2"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1.3 Providing a location for underage consumption, regardless of if alcohol was provided, is not permitted.  </w:t>
      </w:r>
    </w:p>
    <w:p w14:paraId="368872D6"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1.4 Pressuring or forcing others to consume alcohol is not permitted.</w:t>
      </w:r>
    </w:p>
    <w:p w14:paraId="2BAA4254"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1.5 Possession of an open container of alcohol in an area designated as a public area by the University is not permitted.</w:t>
      </w:r>
    </w:p>
    <w:p w14:paraId="3DBF480A"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1.6 Public intoxication or other inappropriate behavior consistent with intoxication, either on or off campus, or at a University sponsored or sanctioned programs or activities is not permitted (e.g.  medical attention due to intoxication, disrupting the peace and elimination in public).  Please refer to Part 3, Section C for the University’s Good Samaritan Policy.</w:t>
      </w:r>
    </w:p>
    <w:p w14:paraId="6E3B71F6" w14:textId="77777777" w:rsidR="00FF2D37" w:rsidRDefault="00FF2D37" w:rsidP="00682ACA">
      <w:pPr>
        <w:pStyle w:val="NormalWeb"/>
        <w:shd w:val="clear" w:color="auto" w:fill="FFFFFF"/>
        <w:rPr>
          <w:rFonts w:ascii="Open Sans" w:hAnsi="Open Sans"/>
          <w:color w:val="000000"/>
        </w:rPr>
      </w:pPr>
      <w:r>
        <w:rPr>
          <w:rStyle w:val="Strong"/>
          <w:rFonts w:ascii="Open Sans" w:hAnsi="Open Sans"/>
          <w:color w:val="000000"/>
        </w:rPr>
        <w:t>All students, while on campus, are expected to abide by the following:</w:t>
      </w:r>
      <w:r>
        <w:rPr>
          <w:rFonts w:ascii="Open Sans" w:hAnsi="Open Sans"/>
          <w:color w:val="000000"/>
        </w:rPr>
        <w:t> </w:t>
      </w:r>
    </w:p>
    <w:p w14:paraId="798FCB65"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1.7 Beer and wine are permitted in students’ rooms only in 610 Huntington, 555 Huntington, Edwards Hall, Rodgers Hall, Apartments@525 and Vancouver and Louis Prang apartments and only if 66% of the living area is 21 years old and has completed the Responsible User registration process. No alcoholic beverages in the Baker, Evans Way, or </w:t>
      </w:r>
      <w:proofErr w:type="spellStart"/>
      <w:r>
        <w:rPr>
          <w:rFonts w:ascii="Open Sans" w:hAnsi="Open Sans"/>
          <w:color w:val="000000"/>
        </w:rPr>
        <w:t>Tudbury</w:t>
      </w:r>
      <w:proofErr w:type="spellEnd"/>
      <w:r>
        <w:rPr>
          <w:rFonts w:ascii="Open Sans" w:hAnsi="Open Sans"/>
          <w:color w:val="000000"/>
        </w:rPr>
        <w:t> residence halls. </w:t>
      </w:r>
    </w:p>
    <w:p w14:paraId="1C7AEA97"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1.8 Registered Responsible User suites or apartments are permitted to have up to 72 ounces of beer, six pre-measured/pre-packaged beverage such as “Truly” or one 1.5-liter bottle of wine or their equivalents per resident. </w:t>
      </w:r>
    </w:p>
    <w:p w14:paraId="328650F0"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1.9 Hard alcohol in any form, kegs, beer balls or any type of common source alcohol are not permitted. </w:t>
      </w:r>
    </w:p>
    <w:p w14:paraId="65DBD5DC"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1.10 Recognizing the serious health risks posed by excessive drinking, no drinking games or possession of drinking paraphernalia used or associated with drinking games (e.g. funnels, beer pong tables, and taps).   </w:t>
      </w:r>
    </w:p>
    <w:p w14:paraId="3DA84E7C"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1.11 Alcoholic containers whether empty or full cannot be used as decorations or stored. This includes bottles, cans, or cardboard containers. All empty containers must be disposed of within 48 hours. </w:t>
      </w:r>
    </w:p>
    <w:p w14:paraId="7CD7C4A8" w14:textId="77777777" w:rsidR="00FF2D37" w:rsidRDefault="00FF2D37" w:rsidP="00FF2D37">
      <w:pPr>
        <w:pStyle w:val="NormalWeb"/>
        <w:shd w:val="clear" w:color="auto" w:fill="FFFFFF"/>
        <w:rPr>
          <w:rFonts w:ascii="Open Sans" w:hAnsi="Open Sans"/>
          <w:color w:val="000000"/>
        </w:rPr>
      </w:pPr>
      <w:r>
        <w:rPr>
          <w:rFonts w:ascii="Open Sans" w:hAnsi="Open Sans"/>
          <w:color w:val="000000"/>
        </w:rPr>
        <w:t>1.12 Non-Wentworth guests are not allowed to bring alcohol onto campus. </w:t>
      </w:r>
    </w:p>
    <w:p w14:paraId="23C35F81" w14:textId="77777777" w:rsidR="00985308" w:rsidRPr="001E3CBF" w:rsidRDefault="00985308" w:rsidP="00985308">
      <w:pPr>
        <w:pStyle w:val="Heading3"/>
      </w:pPr>
      <w:bookmarkStart w:id="11" w:name="_Toc59379461"/>
      <w:r w:rsidRPr="001E3CBF">
        <w:t>Illegal and Controlled Substances and Prescription Drugs:</w:t>
      </w:r>
      <w:bookmarkEnd w:id="11"/>
    </w:p>
    <w:p w14:paraId="34B5FD8F" w14:textId="77777777" w:rsidR="00497F76" w:rsidRDefault="00497F76" w:rsidP="00497F76">
      <w:pPr>
        <w:pStyle w:val="NormalWeb"/>
        <w:shd w:val="clear" w:color="auto" w:fill="FFFFFF"/>
        <w:rPr>
          <w:rFonts w:ascii="Open Sans" w:hAnsi="Open Sans"/>
          <w:color w:val="000000"/>
        </w:rPr>
      </w:pPr>
      <w:r>
        <w:rPr>
          <w:rFonts w:ascii="Open Sans" w:hAnsi="Open Sans"/>
          <w:color w:val="000000"/>
        </w:rPr>
        <w:t>Wentworth strives for a drug-free environment and takes seriously the negative effects illegal drugs and controlled substances have on its students and this community. The University expects students to comply with state and federal laws and will hold students accountable for violations based on smell alone. </w:t>
      </w:r>
    </w:p>
    <w:p w14:paraId="44CD2852" w14:textId="77777777" w:rsidR="00497F76" w:rsidRDefault="00497F76" w:rsidP="00497F76">
      <w:pPr>
        <w:pStyle w:val="NormalWeb"/>
        <w:shd w:val="clear" w:color="auto" w:fill="FFFFFF"/>
        <w:rPr>
          <w:rFonts w:ascii="Open Sans" w:hAnsi="Open Sans"/>
          <w:color w:val="000000"/>
        </w:rPr>
      </w:pPr>
      <w:r>
        <w:rPr>
          <w:rFonts w:ascii="Open Sans" w:hAnsi="Open Sans"/>
          <w:color w:val="000000"/>
        </w:rPr>
        <w:t>In addition to facing both state and federal punishment, students engaging in, but not limited to the following conduct will be in violation of </w:t>
      </w:r>
      <w:r>
        <w:rPr>
          <w:rStyle w:val="Emphasis"/>
          <w:rFonts w:ascii="Open Sans" w:hAnsi="Open Sans"/>
          <w:color w:val="000000"/>
        </w:rPr>
        <w:t>The Student Code</w:t>
      </w:r>
      <w:r>
        <w:rPr>
          <w:rFonts w:ascii="Open Sans" w:hAnsi="Open Sans"/>
          <w:color w:val="000000"/>
        </w:rPr>
        <w:t> and subject to discipline: </w:t>
      </w:r>
    </w:p>
    <w:p w14:paraId="0D90B5AC" w14:textId="77777777" w:rsidR="00497F76" w:rsidRDefault="00497F76" w:rsidP="00497F76">
      <w:pPr>
        <w:pStyle w:val="NormalWeb"/>
        <w:shd w:val="clear" w:color="auto" w:fill="FFFFFF"/>
        <w:rPr>
          <w:rFonts w:ascii="Open Sans" w:hAnsi="Open Sans"/>
          <w:color w:val="000000"/>
        </w:rPr>
      </w:pPr>
      <w:r>
        <w:rPr>
          <w:rFonts w:ascii="Open Sans" w:hAnsi="Open Sans"/>
          <w:color w:val="000000"/>
        </w:rPr>
        <w:t>2.1 The odor, possession, use, or the sale and/or distribution of illegal and/or controlled and/or counterfeit substances is prohibited. </w:t>
      </w:r>
    </w:p>
    <w:p w14:paraId="03963FD6" w14:textId="77777777" w:rsidR="00497F76" w:rsidRDefault="00497F76" w:rsidP="00497F76">
      <w:pPr>
        <w:pStyle w:val="NormalWeb"/>
        <w:shd w:val="clear" w:color="auto" w:fill="FFFFFF"/>
        <w:rPr>
          <w:rFonts w:ascii="Open Sans" w:hAnsi="Open Sans"/>
          <w:color w:val="000000"/>
        </w:rPr>
      </w:pPr>
      <w:r>
        <w:rPr>
          <w:rFonts w:ascii="Open Sans" w:hAnsi="Open Sans"/>
          <w:color w:val="000000"/>
        </w:rPr>
        <w:lastRenderedPageBreak/>
        <w:t>2.2 The presence of residue or paraphernalia, including but not limited to bongs, scales, stems, and pipes is prohibited. </w:t>
      </w:r>
    </w:p>
    <w:p w14:paraId="361B98A2" w14:textId="77777777" w:rsidR="00497F76" w:rsidRDefault="00497F76" w:rsidP="00497F76">
      <w:pPr>
        <w:pStyle w:val="NormalWeb"/>
        <w:shd w:val="clear" w:color="auto" w:fill="FFFFFF"/>
        <w:rPr>
          <w:rFonts w:ascii="Open Sans" w:hAnsi="Open Sans"/>
          <w:color w:val="000000"/>
        </w:rPr>
      </w:pPr>
      <w:r>
        <w:rPr>
          <w:rFonts w:ascii="Open Sans" w:hAnsi="Open Sans"/>
          <w:color w:val="000000"/>
        </w:rPr>
        <w:t>2.3 Prescription drugs: The use of prescription drugs for non-medical reasons is prohibited. Prescription drugs may only be used and possessed by the student to which they are prescribed. Prescription drugs must be stored in the labeled container in which they were prescribed.  Students should only possess a reasonable quantity of prescribed medication based upon the prescription and dosage requirements. </w:t>
      </w:r>
    </w:p>
    <w:p w14:paraId="4D3CD3E1" w14:textId="77777777" w:rsidR="00985308" w:rsidRPr="001E3CBF" w:rsidRDefault="00985308" w:rsidP="00985308">
      <w:pPr>
        <w:pStyle w:val="Heading3"/>
      </w:pPr>
      <w:bookmarkStart w:id="12" w:name="_Toc59379462"/>
      <w:r w:rsidRPr="00F91737">
        <w:t>Smoking and Tobacco:</w:t>
      </w:r>
      <w:bookmarkEnd w:id="12"/>
    </w:p>
    <w:p w14:paraId="4D370E54" w14:textId="2C4CF763" w:rsidR="005E04BB" w:rsidRPr="00DC5CFF" w:rsidRDefault="00497F76" w:rsidP="005E04BB">
      <w:pPr>
        <w:pStyle w:val="NormalWeb"/>
        <w:shd w:val="clear" w:color="auto" w:fill="FFFFFF"/>
        <w:rPr>
          <w:rFonts w:ascii="Open Sans" w:hAnsi="Open Sans"/>
          <w:color w:val="000000"/>
          <w:shd w:val="clear" w:color="auto" w:fill="FFFFFF"/>
        </w:rPr>
      </w:pPr>
      <w:r>
        <w:rPr>
          <w:rFonts w:ascii="Open Sans" w:hAnsi="Open Sans"/>
          <w:color w:val="000000"/>
          <w:shd w:val="clear" w:color="auto" w:fill="FFFFFF"/>
        </w:rPr>
        <w:t xml:space="preserve">Wentworth Institute of Technology is proud to be a Tobacco Free Community. Our tobacco free community includes all areas of the campus (e.g. buildings and facilities, parking lots, campus parks/green spaces, the front lawn, main quadrangle, Sweeney Field, and all pedestrian walkways). Wentworth residential students and guests are permitted to smoke in the designated outdoor smoking areas adjacent to residential buildings. Wentworth students are expected to abide by all state policies and ordinances related to the use of all smoking and tobacco products.  With this policy, Wentworth joined the American College Health Association in supporting the findings of the Surgeon General that tobacco use in any form, active or passive, is a significant health hazard. Wentworth also joined hundreds of colleges and universities across the nation committed to making their campus healthier environments. The smoking of electronic, vapor or other substitute forms of </w:t>
      </w:r>
      <w:r w:rsidRPr="00DC5CFF">
        <w:rPr>
          <w:rFonts w:ascii="Open Sans" w:hAnsi="Open Sans"/>
          <w:color w:val="000000"/>
          <w:shd w:val="clear" w:color="auto" w:fill="FFFFFF"/>
        </w:rPr>
        <w:t>cigarettes is prohibited. </w:t>
      </w:r>
    </w:p>
    <w:p w14:paraId="70683BC3" w14:textId="37654CD5" w:rsidR="005E04BB" w:rsidRPr="001E3CBF" w:rsidRDefault="005E04BB" w:rsidP="005E04BB">
      <w:pPr>
        <w:pStyle w:val="Heading3"/>
      </w:pPr>
      <w:bookmarkStart w:id="13" w:name="_Toc59379463"/>
      <w:r w:rsidRPr="00DC5CFF">
        <w:t>Good Samaritan Policy:</w:t>
      </w:r>
      <w:bookmarkEnd w:id="13"/>
    </w:p>
    <w:p w14:paraId="151BD7E8" w14:textId="77777777" w:rsidR="005E04BB" w:rsidRPr="005E04BB" w:rsidRDefault="005E04BB" w:rsidP="005E04BB">
      <w:pPr>
        <w:shd w:val="clear" w:color="auto" w:fill="FFFFFF"/>
        <w:spacing w:before="100" w:beforeAutospacing="1" w:after="100" w:afterAutospacing="1"/>
        <w:rPr>
          <w:rFonts w:ascii="Open Sans" w:eastAsia="Times New Roman" w:hAnsi="Open Sans"/>
          <w:color w:val="000000"/>
          <w:lang w:eastAsia="en-US"/>
        </w:rPr>
      </w:pPr>
      <w:r w:rsidRPr="005E04BB">
        <w:rPr>
          <w:rFonts w:ascii="Open Sans" w:eastAsia="Times New Roman" w:hAnsi="Open Sans"/>
          <w:color w:val="000000"/>
          <w:lang w:eastAsia="en-US"/>
        </w:rPr>
        <w:t>Wentworth Institute of Technology is strongly committed to both the development of the student and the health and safety of the community. All members of the Wentworth community are expected to uphold the Wentworth Creed, the Student Code of Conduct, the Leopard’s Oath, and to look out for one another. Students may be reluctant to seek help in alcohol, prescription drug and illegal substance related emergencies due to their own involvement for violating the Code of Conduct.  When these emergencies are serious and/or life-threatening, Wentworth wants to promote a culture of students seeking assistance when it is needed, as well as a culture of responsibility. For this reason, Wentworth has developed a Good Samaritan Policy. </w:t>
      </w:r>
    </w:p>
    <w:p w14:paraId="68369AEC" w14:textId="77777777" w:rsidR="005E04BB" w:rsidRPr="005E04BB" w:rsidRDefault="005E04BB" w:rsidP="005E04BB">
      <w:pPr>
        <w:shd w:val="clear" w:color="auto" w:fill="FFFFFF"/>
        <w:spacing w:before="100" w:beforeAutospacing="1" w:after="100" w:afterAutospacing="1"/>
        <w:rPr>
          <w:rFonts w:ascii="Open Sans" w:eastAsia="Times New Roman" w:hAnsi="Open Sans"/>
          <w:color w:val="000000"/>
          <w:lang w:eastAsia="en-US"/>
        </w:rPr>
      </w:pPr>
      <w:r w:rsidRPr="005E04BB">
        <w:rPr>
          <w:rFonts w:ascii="Open Sans" w:eastAsia="Times New Roman" w:hAnsi="Open Sans"/>
          <w:color w:val="000000"/>
          <w:lang w:eastAsia="en-US"/>
        </w:rPr>
        <w:t>In cases of a medical emergency resulting from alcohol, prescription drug, or illegal substances, students are expected to seek out help for an individual(s) needing medical attention by contacting Public Safety and/or 911 and remain with the individual(s) until the time assistance arrives.  Students who seek out emergency assistance for an individual(s) will face no formal University disciplinary action or sanction for their own conduct which could be a policy violation relating to personal alcohol, prescription drug and/or illegal drug use that occurred immediately before or during the medical emergency incident. However, the personal use will be documented, and an educational response may be required.  This policy also applies to the individual for who the emergency assistance was requested. </w:t>
      </w:r>
    </w:p>
    <w:p w14:paraId="11E2400E" w14:textId="77777777" w:rsidR="005E04BB" w:rsidRPr="005E04BB" w:rsidRDefault="005E04BB" w:rsidP="005E04BB">
      <w:pPr>
        <w:shd w:val="clear" w:color="auto" w:fill="FFFFFF"/>
        <w:spacing w:before="100" w:beforeAutospacing="1" w:after="100" w:afterAutospacing="1"/>
        <w:rPr>
          <w:rFonts w:ascii="Open Sans" w:eastAsia="Times New Roman" w:hAnsi="Open Sans"/>
          <w:color w:val="000000"/>
          <w:lang w:eastAsia="en-US"/>
        </w:rPr>
      </w:pPr>
      <w:r w:rsidRPr="005E04BB">
        <w:rPr>
          <w:rFonts w:ascii="Open Sans" w:eastAsia="Times New Roman" w:hAnsi="Open Sans"/>
          <w:color w:val="000000"/>
          <w:lang w:eastAsia="en-US"/>
        </w:rPr>
        <w:t>Violations other than personal use of alcohol and /or prescription drugs and/or illegal drugs do not fall within the scope of this policy.</w:t>
      </w:r>
    </w:p>
    <w:p w14:paraId="2FC01747" w14:textId="06DFB2A9" w:rsidR="005E04BB" w:rsidRDefault="005E04BB" w:rsidP="005E04BB">
      <w:pPr>
        <w:shd w:val="clear" w:color="auto" w:fill="FFFFFF"/>
        <w:spacing w:before="100" w:beforeAutospacing="1" w:after="100" w:afterAutospacing="1"/>
        <w:rPr>
          <w:rFonts w:ascii="Open Sans" w:eastAsia="Times New Roman" w:hAnsi="Open Sans"/>
          <w:color w:val="000000"/>
          <w:lang w:eastAsia="en-US"/>
        </w:rPr>
      </w:pPr>
      <w:r w:rsidRPr="005E04BB">
        <w:rPr>
          <w:rFonts w:ascii="Open Sans" w:eastAsia="Times New Roman" w:hAnsi="Open Sans"/>
          <w:color w:val="000000"/>
          <w:lang w:eastAsia="en-US"/>
        </w:rPr>
        <w:t>The Good Samaritan Policy will not apply for calls for medical assistance made after the University or local authorities have already intervened and/or confronted a situation. Students who abuse the protections of the Good Samaritan Policy by seeking help for others when there is no good-faith basis for doing so, will not be able to claim the benefits of the Policy. </w:t>
      </w:r>
    </w:p>
    <w:p w14:paraId="4ED5BDFB" w14:textId="74D60984" w:rsidR="005E04BB" w:rsidRPr="005E04BB" w:rsidRDefault="005E04BB" w:rsidP="005E04BB">
      <w:pPr>
        <w:pStyle w:val="Heading1"/>
        <w:rPr>
          <w:rFonts w:eastAsia="Times New Roman"/>
          <w:lang w:eastAsia="en-US"/>
        </w:rPr>
      </w:pPr>
      <w:bookmarkStart w:id="14" w:name="_Toc59379464"/>
      <w:r w:rsidRPr="00DC5CFF">
        <w:rPr>
          <w:rFonts w:eastAsia="Times New Roman"/>
          <w:lang w:eastAsia="en-US"/>
        </w:rPr>
        <w:lastRenderedPageBreak/>
        <w:t>Violations</w:t>
      </w:r>
      <w:bookmarkEnd w:id="14"/>
    </w:p>
    <w:p w14:paraId="780AD2CC" w14:textId="77777777" w:rsidR="005E04BB" w:rsidRDefault="005E04BB" w:rsidP="005E04BB">
      <w:pPr>
        <w:rPr>
          <w:rStyle w:val="Emphasis"/>
          <w:b/>
        </w:rPr>
      </w:pPr>
    </w:p>
    <w:p w14:paraId="3AF146F6" w14:textId="3925BE85" w:rsidR="005E04BB" w:rsidRPr="00E25CCB" w:rsidRDefault="005E04BB" w:rsidP="005E04BB">
      <w:pPr>
        <w:rPr>
          <w:rStyle w:val="Emphasis"/>
          <w:b/>
        </w:rPr>
      </w:pPr>
      <w:r w:rsidRPr="00E25CCB">
        <w:rPr>
          <w:rStyle w:val="Emphasis"/>
          <w:b/>
        </w:rPr>
        <w:t>Alcohol Violation - Wentworth Sanctions</w:t>
      </w:r>
    </w:p>
    <w:p w14:paraId="553C17DE" w14:textId="77777777" w:rsidR="005E04BB" w:rsidRPr="00BE6C26" w:rsidRDefault="005E04BB" w:rsidP="005E04BB">
      <w:pPr>
        <w:pStyle w:val="NormalWeb"/>
        <w:shd w:val="clear" w:color="auto" w:fill="FFFFFF"/>
        <w:rPr>
          <w:color w:val="333333"/>
        </w:rPr>
      </w:pPr>
      <w:r w:rsidRPr="00BE6C26">
        <w:rPr>
          <w:color w:val="333333"/>
        </w:rPr>
        <w:t>The sanctions listed below are only guides and may be more severe, including but not limited to Institute Suspension or Expulsion, depending on the specifics of the incident, history of alcohol violation(s), as well as other violations which may have occurred simultaneously.</w:t>
      </w:r>
    </w:p>
    <w:p w14:paraId="7D6C8AF1" w14:textId="77777777" w:rsidR="005E04BB" w:rsidRPr="00BE6C26" w:rsidRDefault="005E04BB" w:rsidP="005E04BB">
      <w:pPr>
        <w:pStyle w:val="NormalWeb"/>
        <w:shd w:val="clear" w:color="auto" w:fill="FFFFFF"/>
        <w:rPr>
          <w:color w:val="333333"/>
        </w:rPr>
      </w:pPr>
      <w:r w:rsidRPr="00BE6C26">
        <w:rPr>
          <w:rStyle w:val="Strong"/>
          <w:rFonts w:eastAsiaTheme="majorEastAsia"/>
          <w:color w:val="333333"/>
        </w:rPr>
        <w:t>First level alcohol violations</w:t>
      </w:r>
      <w:r w:rsidRPr="00BE6C26">
        <w:rPr>
          <w:color w:val="333333"/>
        </w:rPr>
        <w:t> include but are not limited to: possession of a small quantity of beer or wine when underage, possession of beer or wine in a designated dry area, possessing amount of alcohol exceeding allowed amount in register Responsible User area, underage possession of empties, possession of alcohol paraphernalia, underage drinking, intoxication for students over 21.</w:t>
      </w:r>
    </w:p>
    <w:p w14:paraId="481B43F3" w14:textId="77777777" w:rsidR="005E04BB" w:rsidRPr="00BE6C26" w:rsidRDefault="005E04BB" w:rsidP="005E04BB">
      <w:pPr>
        <w:numPr>
          <w:ilvl w:val="0"/>
          <w:numId w:val="13"/>
        </w:numPr>
        <w:shd w:val="clear" w:color="auto" w:fill="FFFFFF"/>
        <w:spacing w:before="100" w:beforeAutospacing="1" w:after="100" w:afterAutospacing="1"/>
        <w:rPr>
          <w:color w:val="333333"/>
        </w:rPr>
      </w:pPr>
      <w:r w:rsidRPr="00BE6C26">
        <w:rPr>
          <w:color w:val="333333"/>
        </w:rPr>
        <w:t xml:space="preserve">Disciplinary </w:t>
      </w:r>
      <w:proofErr w:type="gramStart"/>
      <w:r w:rsidRPr="00BE6C26">
        <w:rPr>
          <w:color w:val="333333"/>
        </w:rPr>
        <w:t>Warning;</w:t>
      </w:r>
      <w:proofErr w:type="gramEnd"/>
    </w:p>
    <w:p w14:paraId="590A999E" w14:textId="77777777" w:rsidR="005E04BB" w:rsidRPr="00BE6C26" w:rsidRDefault="005E04BB" w:rsidP="005E04BB">
      <w:pPr>
        <w:numPr>
          <w:ilvl w:val="0"/>
          <w:numId w:val="13"/>
        </w:numPr>
        <w:shd w:val="clear" w:color="auto" w:fill="FFFFFF"/>
        <w:spacing w:before="100" w:beforeAutospacing="1" w:after="100" w:afterAutospacing="1"/>
        <w:rPr>
          <w:color w:val="333333"/>
        </w:rPr>
      </w:pPr>
      <w:r w:rsidRPr="00BE6C26">
        <w:rPr>
          <w:color w:val="333333"/>
        </w:rPr>
        <w:t xml:space="preserve">$100 </w:t>
      </w:r>
      <w:proofErr w:type="gramStart"/>
      <w:r w:rsidRPr="00BE6C26">
        <w:rPr>
          <w:color w:val="333333"/>
        </w:rPr>
        <w:t>fine;</w:t>
      </w:r>
      <w:proofErr w:type="gramEnd"/>
    </w:p>
    <w:p w14:paraId="06B42229" w14:textId="77777777" w:rsidR="005E04BB" w:rsidRPr="00BE6C26" w:rsidRDefault="005E04BB" w:rsidP="005E04BB">
      <w:pPr>
        <w:numPr>
          <w:ilvl w:val="0"/>
          <w:numId w:val="13"/>
        </w:numPr>
        <w:shd w:val="clear" w:color="auto" w:fill="FFFFFF"/>
        <w:spacing w:before="100" w:beforeAutospacing="1" w:after="100" w:afterAutospacing="1"/>
        <w:rPr>
          <w:color w:val="333333"/>
        </w:rPr>
      </w:pPr>
      <w:r w:rsidRPr="00BE6C26">
        <w:rPr>
          <w:color w:val="333333"/>
        </w:rPr>
        <w:t xml:space="preserve">Alcohol Education </w:t>
      </w:r>
      <w:proofErr w:type="gramStart"/>
      <w:r w:rsidRPr="00BE6C26">
        <w:rPr>
          <w:color w:val="333333"/>
        </w:rPr>
        <w:t>Class;</w:t>
      </w:r>
      <w:proofErr w:type="gramEnd"/>
    </w:p>
    <w:p w14:paraId="478F379D" w14:textId="77777777" w:rsidR="005E04BB" w:rsidRPr="00BE6C26" w:rsidRDefault="005E04BB" w:rsidP="005E04BB">
      <w:pPr>
        <w:numPr>
          <w:ilvl w:val="0"/>
          <w:numId w:val="13"/>
        </w:numPr>
        <w:shd w:val="clear" w:color="auto" w:fill="FFFFFF"/>
        <w:spacing w:before="100" w:beforeAutospacing="1" w:after="100" w:afterAutospacing="1"/>
        <w:rPr>
          <w:color w:val="333333"/>
        </w:rPr>
      </w:pPr>
      <w:r w:rsidRPr="00BE6C26">
        <w:rPr>
          <w:color w:val="333333"/>
        </w:rPr>
        <w:t>Parental/Guardian Notification.</w:t>
      </w:r>
    </w:p>
    <w:p w14:paraId="5C556F21" w14:textId="77777777" w:rsidR="005E04BB" w:rsidRPr="00BE6C26" w:rsidRDefault="005E04BB" w:rsidP="005E04BB">
      <w:pPr>
        <w:pStyle w:val="NormalWeb"/>
        <w:shd w:val="clear" w:color="auto" w:fill="FFFFFF"/>
        <w:rPr>
          <w:color w:val="333333"/>
        </w:rPr>
      </w:pPr>
      <w:r w:rsidRPr="00BE6C26">
        <w:rPr>
          <w:rStyle w:val="Strong"/>
          <w:rFonts w:eastAsiaTheme="majorEastAsia"/>
          <w:color w:val="333333"/>
        </w:rPr>
        <w:t>Second level alcohol violations</w:t>
      </w:r>
      <w:r w:rsidRPr="00BE6C26">
        <w:rPr>
          <w:color w:val="333333"/>
        </w:rPr>
        <w:t> include but are not limited to: second violation of first level alcohol violation, possession of hard alcohol, possession of large quantity (over the amount allowed in registered Responsible User suites, 6-pack of beer 12 fluid ounces or pre-bottle/measured beverage or 1.5 liter wine), public consumption, common source (kegs, beer balls, punch).</w:t>
      </w:r>
    </w:p>
    <w:p w14:paraId="549530CF" w14:textId="77777777" w:rsidR="005E04BB" w:rsidRPr="00BE6C26" w:rsidRDefault="005E04BB" w:rsidP="005E04BB">
      <w:pPr>
        <w:numPr>
          <w:ilvl w:val="0"/>
          <w:numId w:val="14"/>
        </w:numPr>
        <w:shd w:val="clear" w:color="auto" w:fill="FFFFFF"/>
        <w:spacing w:before="100" w:beforeAutospacing="1" w:after="100" w:afterAutospacing="1"/>
        <w:rPr>
          <w:color w:val="333333"/>
        </w:rPr>
      </w:pPr>
      <w:r w:rsidRPr="00BE6C26">
        <w:rPr>
          <w:color w:val="333333"/>
        </w:rPr>
        <w:t xml:space="preserve">Housing </w:t>
      </w:r>
      <w:proofErr w:type="gramStart"/>
      <w:r w:rsidRPr="00BE6C26">
        <w:rPr>
          <w:color w:val="333333"/>
        </w:rPr>
        <w:t>Probation;</w:t>
      </w:r>
      <w:proofErr w:type="gramEnd"/>
    </w:p>
    <w:p w14:paraId="7A7E5DA5" w14:textId="77777777" w:rsidR="005E04BB" w:rsidRPr="00BE6C26" w:rsidRDefault="005E04BB" w:rsidP="005E04BB">
      <w:pPr>
        <w:numPr>
          <w:ilvl w:val="0"/>
          <w:numId w:val="14"/>
        </w:numPr>
        <w:shd w:val="clear" w:color="auto" w:fill="FFFFFF"/>
        <w:spacing w:before="100" w:beforeAutospacing="1" w:after="100" w:afterAutospacing="1"/>
        <w:rPr>
          <w:color w:val="333333"/>
        </w:rPr>
      </w:pPr>
      <w:r w:rsidRPr="00BE6C26">
        <w:rPr>
          <w:color w:val="333333"/>
        </w:rPr>
        <w:t xml:space="preserve">$200 </w:t>
      </w:r>
      <w:proofErr w:type="gramStart"/>
      <w:r w:rsidRPr="00BE6C26">
        <w:rPr>
          <w:color w:val="333333"/>
        </w:rPr>
        <w:t>fine;</w:t>
      </w:r>
      <w:proofErr w:type="gramEnd"/>
    </w:p>
    <w:p w14:paraId="5CDB8B16" w14:textId="77777777" w:rsidR="005E04BB" w:rsidRPr="00BE6C26" w:rsidRDefault="005E04BB" w:rsidP="005E04BB">
      <w:pPr>
        <w:numPr>
          <w:ilvl w:val="0"/>
          <w:numId w:val="14"/>
        </w:numPr>
        <w:shd w:val="clear" w:color="auto" w:fill="FFFFFF"/>
        <w:spacing w:before="100" w:beforeAutospacing="1" w:after="100" w:afterAutospacing="1"/>
        <w:rPr>
          <w:color w:val="333333"/>
        </w:rPr>
      </w:pPr>
      <w:r w:rsidRPr="00BE6C26">
        <w:rPr>
          <w:color w:val="333333"/>
        </w:rPr>
        <w:t xml:space="preserve">Individual Alcohol </w:t>
      </w:r>
      <w:proofErr w:type="gramStart"/>
      <w:r w:rsidRPr="00BE6C26">
        <w:rPr>
          <w:color w:val="333333"/>
        </w:rPr>
        <w:t>Education;</w:t>
      </w:r>
      <w:proofErr w:type="gramEnd"/>
    </w:p>
    <w:p w14:paraId="6D73A67A" w14:textId="77777777" w:rsidR="005E04BB" w:rsidRPr="00BE6C26" w:rsidRDefault="005E04BB" w:rsidP="005E04BB">
      <w:pPr>
        <w:numPr>
          <w:ilvl w:val="0"/>
          <w:numId w:val="14"/>
        </w:numPr>
        <w:shd w:val="clear" w:color="auto" w:fill="FFFFFF"/>
        <w:spacing w:before="100" w:beforeAutospacing="1" w:after="100" w:afterAutospacing="1"/>
        <w:rPr>
          <w:color w:val="333333"/>
        </w:rPr>
      </w:pPr>
      <w:r w:rsidRPr="00BE6C26">
        <w:rPr>
          <w:color w:val="333333"/>
        </w:rPr>
        <w:t>Community Review Essay</w:t>
      </w:r>
    </w:p>
    <w:p w14:paraId="08C68E36" w14:textId="77777777" w:rsidR="005E04BB" w:rsidRPr="00BE6C26" w:rsidRDefault="005E04BB" w:rsidP="005E04BB">
      <w:pPr>
        <w:numPr>
          <w:ilvl w:val="0"/>
          <w:numId w:val="14"/>
        </w:numPr>
        <w:shd w:val="clear" w:color="auto" w:fill="FFFFFF"/>
        <w:spacing w:before="100" w:beforeAutospacing="1" w:after="100" w:afterAutospacing="1"/>
        <w:rPr>
          <w:color w:val="333333"/>
        </w:rPr>
      </w:pPr>
      <w:r w:rsidRPr="00BE6C26">
        <w:rPr>
          <w:color w:val="333333"/>
        </w:rPr>
        <w:t xml:space="preserve">Parental/Guardian </w:t>
      </w:r>
      <w:proofErr w:type="gramStart"/>
      <w:r w:rsidRPr="00BE6C26">
        <w:rPr>
          <w:color w:val="333333"/>
        </w:rPr>
        <w:t>Notification;</w:t>
      </w:r>
      <w:proofErr w:type="gramEnd"/>
    </w:p>
    <w:p w14:paraId="444A52B5" w14:textId="77777777" w:rsidR="005E04BB" w:rsidRPr="00BE6C26" w:rsidRDefault="005E04BB" w:rsidP="005E04BB">
      <w:pPr>
        <w:pStyle w:val="NormalWeb"/>
        <w:shd w:val="clear" w:color="auto" w:fill="FFFFFF"/>
        <w:rPr>
          <w:color w:val="333333"/>
        </w:rPr>
      </w:pPr>
      <w:r w:rsidRPr="00BE6C26">
        <w:rPr>
          <w:rStyle w:val="Strong"/>
          <w:rFonts w:eastAsiaTheme="majorEastAsia"/>
          <w:color w:val="333333"/>
        </w:rPr>
        <w:t>Third level alcohol violations</w:t>
      </w:r>
      <w:r w:rsidRPr="00BE6C26">
        <w:rPr>
          <w:color w:val="333333"/>
        </w:rPr>
        <w:t> include but are not limited to: multiple first level or second level violations, providing alcohol to minors, and/or providing a location for underage consumption.</w:t>
      </w:r>
    </w:p>
    <w:p w14:paraId="7253C038" w14:textId="77777777" w:rsidR="005E04BB" w:rsidRPr="00BE6C26" w:rsidRDefault="005E04BB" w:rsidP="005E04BB">
      <w:pPr>
        <w:numPr>
          <w:ilvl w:val="0"/>
          <w:numId w:val="15"/>
        </w:numPr>
        <w:shd w:val="clear" w:color="auto" w:fill="FFFFFF"/>
        <w:spacing w:before="100" w:beforeAutospacing="1" w:after="100" w:afterAutospacing="1"/>
        <w:rPr>
          <w:color w:val="333333"/>
        </w:rPr>
      </w:pPr>
      <w:r w:rsidRPr="00BE6C26">
        <w:rPr>
          <w:color w:val="333333"/>
        </w:rPr>
        <w:t xml:space="preserve">Institute </w:t>
      </w:r>
      <w:proofErr w:type="gramStart"/>
      <w:r w:rsidRPr="00BE6C26">
        <w:rPr>
          <w:color w:val="333333"/>
        </w:rPr>
        <w:t>Probation;</w:t>
      </w:r>
      <w:proofErr w:type="gramEnd"/>
    </w:p>
    <w:p w14:paraId="120215B7" w14:textId="77777777" w:rsidR="005E04BB" w:rsidRPr="00BE6C26" w:rsidRDefault="005E04BB" w:rsidP="005E04BB">
      <w:pPr>
        <w:numPr>
          <w:ilvl w:val="0"/>
          <w:numId w:val="15"/>
        </w:numPr>
        <w:shd w:val="clear" w:color="auto" w:fill="FFFFFF"/>
        <w:spacing w:before="100" w:beforeAutospacing="1" w:after="100" w:afterAutospacing="1"/>
        <w:rPr>
          <w:color w:val="333333"/>
        </w:rPr>
      </w:pPr>
      <w:r w:rsidRPr="00BE6C26">
        <w:rPr>
          <w:color w:val="333333"/>
        </w:rPr>
        <w:t xml:space="preserve">$300 </w:t>
      </w:r>
      <w:proofErr w:type="gramStart"/>
      <w:r w:rsidRPr="00BE6C26">
        <w:rPr>
          <w:color w:val="333333"/>
        </w:rPr>
        <w:t>fine;</w:t>
      </w:r>
      <w:proofErr w:type="gramEnd"/>
    </w:p>
    <w:p w14:paraId="7507BA36" w14:textId="77777777" w:rsidR="005E04BB" w:rsidRPr="00BE6C26" w:rsidRDefault="005E04BB" w:rsidP="005E04BB">
      <w:pPr>
        <w:numPr>
          <w:ilvl w:val="0"/>
          <w:numId w:val="15"/>
        </w:numPr>
        <w:shd w:val="clear" w:color="auto" w:fill="FFFFFF"/>
        <w:spacing w:before="100" w:beforeAutospacing="1" w:after="100" w:afterAutospacing="1"/>
        <w:rPr>
          <w:color w:val="333333"/>
        </w:rPr>
      </w:pPr>
      <w:r w:rsidRPr="00BE6C26">
        <w:rPr>
          <w:color w:val="333333"/>
        </w:rPr>
        <w:t xml:space="preserve">Parental/Guardian </w:t>
      </w:r>
      <w:proofErr w:type="gramStart"/>
      <w:r w:rsidRPr="00BE6C26">
        <w:rPr>
          <w:color w:val="333333"/>
        </w:rPr>
        <w:t>Notification;</w:t>
      </w:r>
      <w:proofErr w:type="gramEnd"/>
    </w:p>
    <w:p w14:paraId="447F9451" w14:textId="77777777" w:rsidR="005E04BB" w:rsidRDefault="005E04BB" w:rsidP="005E04BB">
      <w:pPr>
        <w:numPr>
          <w:ilvl w:val="0"/>
          <w:numId w:val="15"/>
        </w:numPr>
        <w:shd w:val="clear" w:color="auto" w:fill="FFFFFF"/>
        <w:spacing w:before="100" w:beforeAutospacing="1" w:after="100" w:afterAutospacing="1"/>
        <w:rPr>
          <w:color w:val="333333"/>
        </w:rPr>
      </w:pPr>
      <w:r w:rsidRPr="00BE6C26">
        <w:rPr>
          <w:color w:val="333333"/>
        </w:rPr>
        <w:t>12 Hours of Community Service/Restitution</w:t>
      </w:r>
    </w:p>
    <w:p w14:paraId="6D69B413" w14:textId="77777777" w:rsidR="005E04BB" w:rsidRPr="00E25CCB" w:rsidRDefault="005E04BB" w:rsidP="005E04BB">
      <w:pPr>
        <w:shd w:val="clear" w:color="auto" w:fill="FFFFFF"/>
        <w:spacing w:before="100" w:beforeAutospacing="1" w:after="100" w:afterAutospacing="1"/>
        <w:rPr>
          <w:b/>
          <w:i/>
          <w:color w:val="333333"/>
        </w:rPr>
      </w:pPr>
      <w:r w:rsidRPr="00E25CCB">
        <w:rPr>
          <w:b/>
          <w:i/>
          <w:color w:val="222222"/>
        </w:rPr>
        <w:t>Alcohol Violation - Massachusetts Sanctions</w:t>
      </w:r>
    </w:p>
    <w:p w14:paraId="0B2E3624" w14:textId="77777777" w:rsidR="005E04BB" w:rsidRPr="00592BDF" w:rsidRDefault="005E04BB" w:rsidP="005E04BB">
      <w:pPr>
        <w:pStyle w:val="NormalWeb"/>
        <w:shd w:val="clear" w:color="auto" w:fill="FFFFFF"/>
        <w:rPr>
          <w:color w:val="333333"/>
        </w:rPr>
      </w:pPr>
      <w:r w:rsidRPr="00BE6C26">
        <w:rPr>
          <w:color w:val="333333"/>
        </w:rPr>
        <w:t>Persons operating under the influence of alcohol (.08 or greater) are subject to a fine of not less than $500.00 and not more than $5,000 and/or imprisonment for a first offense. Persons who misrepresent their age or present false IDs to purchase alcohol are subject to fines of $300.00 and loss of license. Persons who purchase or supply alcohol for a person under 21 years of age are subject to a fine of up to $2,000 and or imprisonment of up to one year. Persons found to be driving under the influence of alcohol may be subject to a fine of not less than $500 nor more than $5,000 and/or imprisonment for a first offense. Multiple offenses for DUI carry more severe penalties.</w:t>
      </w:r>
    </w:p>
    <w:p w14:paraId="3D2F042D" w14:textId="77777777" w:rsidR="00F91737" w:rsidRPr="00E25CCB" w:rsidRDefault="00F91737" w:rsidP="00F91737">
      <w:pPr>
        <w:shd w:val="clear" w:color="auto" w:fill="FFFFFF"/>
        <w:spacing w:before="100" w:beforeAutospacing="1" w:after="100" w:afterAutospacing="1"/>
        <w:rPr>
          <w:b/>
          <w:i/>
          <w:color w:val="333333"/>
        </w:rPr>
      </w:pPr>
      <w:r w:rsidRPr="00E25CCB">
        <w:rPr>
          <w:b/>
          <w:i/>
          <w:color w:val="222222"/>
        </w:rPr>
        <w:t>Illegal Substances, Prescription Drug Violation - Wentworth Sanctions</w:t>
      </w:r>
    </w:p>
    <w:p w14:paraId="4FC00C1C" w14:textId="77777777" w:rsidR="00F91737" w:rsidRPr="00BE6C26" w:rsidRDefault="00F91737" w:rsidP="00F91737">
      <w:pPr>
        <w:pStyle w:val="NormalWeb"/>
        <w:shd w:val="clear" w:color="auto" w:fill="FFFFFF"/>
        <w:rPr>
          <w:color w:val="333333"/>
        </w:rPr>
      </w:pPr>
      <w:r w:rsidRPr="00BE6C26">
        <w:rPr>
          <w:color w:val="333333"/>
        </w:rPr>
        <w:lastRenderedPageBreak/>
        <w:t>The following are possible sanctions imposed for violations. Sanctions are dependent upon the severity and circumstances of each incident as well as the type of substance.</w:t>
      </w:r>
    </w:p>
    <w:p w14:paraId="159D7F3E" w14:textId="77777777" w:rsidR="00F91737" w:rsidRPr="00BE6C26" w:rsidRDefault="00F91737" w:rsidP="00F91737">
      <w:pPr>
        <w:pStyle w:val="NormalWeb"/>
        <w:shd w:val="clear" w:color="auto" w:fill="FFFFFF"/>
        <w:rPr>
          <w:color w:val="333333"/>
        </w:rPr>
      </w:pPr>
      <w:r w:rsidRPr="00BE6C26">
        <w:rPr>
          <w:rStyle w:val="Strong"/>
          <w:rFonts w:eastAsiaTheme="majorEastAsia"/>
          <w:color w:val="333333"/>
        </w:rPr>
        <w:t>First level violations</w:t>
      </w:r>
      <w:r w:rsidRPr="00BE6C26">
        <w:rPr>
          <w:color w:val="333333"/>
        </w:rPr>
        <w:t> may include but are not limited to: possession of a personal use sized quantity of marijuana, odor, possession of drug paraphernalia, marijuana seeds/stems.</w:t>
      </w:r>
    </w:p>
    <w:p w14:paraId="562724AB" w14:textId="77777777" w:rsidR="00F91737" w:rsidRPr="00BE6C26" w:rsidRDefault="00F91737" w:rsidP="00F91737">
      <w:pPr>
        <w:numPr>
          <w:ilvl w:val="0"/>
          <w:numId w:val="17"/>
        </w:numPr>
        <w:shd w:val="clear" w:color="auto" w:fill="FFFFFF"/>
        <w:spacing w:before="100" w:beforeAutospacing="1" w:after="100" w:afterAutospacing="1"/>
        <w:rPr>
          <w:color w:val="333333"/>
        </w:rPr>
      </w:pPr>
      <w:r w:rsidRPr="00BE6C26">
        <w:rPr>
          <w:color w:val="333333"/>
        </w:rPr>
        <w:t xml:space="preserve">Disciplinary Warning or Housing </w:t>
      </w:r>
      <w:proofErr w:type="gramStart"/>
      <w:r w:rsidRPr="00BE6C26">
        <w:rPr>
          <w:color w:val="333333"/>
        </w:rPr>
        <w:t>Probation;</w:t>
      </w:r>
      <w:proofErr w:type="gramEnd"/>
    </w:p>
    <w:p w14:paraId="36B6A856" w14:textId="77777777" w:rsidR="00F91737" w:rsidRPr="00BE6C26" w:rsidRDefault="00F91737" w:rsidP="00F91737">
      <w:pPr>
        <w:numPr>
          <w:ilvl w:val="0"/>
          <w:numId w:val="17"/>
        </w:numPr>
        <w:shd w:val="clear" w:color="auto" w:fill="FFFFFF"/>
        <w:spacing w:before="100" w:beforeAutospacing="1" w:after="100" w:afterAutospacing="1"/>
        <w:rPr>
          <w:color w:val="333333"/>
        </w:rPr>
      </w:pPr>
      <w:r w:rsidRPr="00BE6C26">
        <w:rPr>
          <w:color w:val="333333"/>
        </w:rPr>
        <w:t xml:space="preserve">$250 </w:t>
      </w:r>
      <w:proofErr w:type="gramStart"/>
      <w:r w:rsidRPr="00BE6C26">
        <w:rPr>
          <w:color w:val="333333"/>
        </w:rPr>
        <w:t>fine;</w:t>
      </w:r>
      <w:proofErr w:type="gramEnd"/>
    </w:p>
    <w:p w14:paraId="1864BA85" w14:textId="77777777" w:rsidR="00F91737" w:rsidRPr="00BE6C26" w:rsidRDefault="00F91737" w:rsidP="00F91737">
      <w:pPr>
        <w:numPr>
          <w:ilvl w:val="0"/>
          <w:numId w:val="17"/>
        </w:numPr>
        <w:shd w:val="clear" w:color="auto" w:fill="FFFFFF"/>
        <w:spacing w:before="100" w:beforeAutospacing="1" w:after="100" w:afterAutospacing="1"/>
        <w:rPr>
          <w:color w:val="333333"/>
        </w:rPr>
      </w:pPr>
      <w:r w:rsidRPr="00BE6C26">
        <w:rPr>
          <w:color w:val="333333"/>
        </w:rPr>
        <w:t xml:space="preserve">Drug Education </w:t>
      </w:r>
      <w:proofErr w:type="gramStart"/>
      <w:r w:rsidRPr="00BE6C26">
        <w:rPr>
          <w:color w:val="333333"/>
        </w:rPr>
        <w:t>Class;</w:t>
      </w:r>
      <w:proofErr w:type="gramEnd"/>
    </w:p>
    <w:p w14:paraId="6B543A89" w14:textId="77777777" w:rsidR="00F91737" w:rsidRPr="00BE6C26" w:rsidRDefault="00F91737" w:rsidP="00F91737">
      <w:pPr>
        <w:numPr>
          <w:ilvl w:val="0"/>
          <w:numId w:val="17"/>
        </w:numPr>
        <w:shd w:val="clear" w:color="auto" w:fill="FFFFFF"/>
        <w:spacing w:before="100" w:beforeAutospacing="1" w:after="100" w:afterAutospacing="1"/>
        <w:rPr>
          <w:color w:val="333333"/>
        </w:rPr>
      </w:pPr>
      <w:r w:rsidRPr="00BE6C26">
        <w:rPr>
          <w:color w:val="333333"/>
        </w:rPr>
        <w:t>Parental/Guardian Notification.</w:t>
      </w:r>
    </w:p>
    <w:p w14:paraId="195678C8" w14:textId="77777777" w:rsidR="00F91737" w:rsidRPr="00BE6C26" w:rsidRDefault="00F91737" w:rsidP="00F91737">
      <w:pPr>
        <w:pStyle w:val="NormalWeb"/>
        <w:shd w:val="clear" w:color="auto" w:fill="FFFFFF"/>
        <w:rPr>
          <w:color w:val="333333"/>
        </w:rPr>
      </w:pPr>
      <w:r w:rsidRPr="00BE6C26">
        <w:rPr>
          <w:rStyle w:val="Strong"/>
          <w:rFonts w:eastAsiaTheme="majorEastAsia"/>
          <w:color w:val="333333"/>
        </w:rPr>
        <w:t>Second level violations</w:t>
      </w:r>
      <w:r w:rsidRPr="00BE6C26">
        <w:rPr>
          <w:color w:val="333333"/>
        </w:rPr>
        <w:t> may include but are not limited to: second violation of first level violation, use of illegal substances and drugs.</w:t>
      </w:r>
    </w:p>
    <w:p w14:paraId="2564506C" w14:textId="77777777" w:rsidR="00F91737" w:rsidRPr="00BE6C26" w:rsidRDefault="00F91737" w:rsidP="00F91737">
      <w:pPr>
        <w:numPr>
          <w:ilvl w:val="0"/>
          <w:numId w:val="18"/>
        </w:numPr>
        <w:shd w:val="clear" w:color="auto" w:fill="FFFFFF"/>
        <w:spacing w:before="100" w:beforeAutospacing="1" w:after="100" w:afterAutospacing="1"/>
        <w:rPr>
          <w:color w:val="333333"/>
        </w:rPr>
      </w:pPr>
      <w:r w:rsidRPr="00BE6C26">
        <w:rPr>
          <w:color w:val="333333"/>
        </w:rPr>
        <w:t xml:space="preserve">Institute </w:t>
      </w:r>
      <w:proofErr w:type="gramStart"/>
      <w:r w:rsidRPr="00BE6C26">
        <w:rPr>
          <w:color w:val="333333"/>
        </w:rPr>
        <w:t>Probation;</w:t>
      </w:r>
      <w:proofErr w:type="gramEnd"/>
    </w:p>
    <w:p w14:paraId="146E08D1" w14:textId="77777777" w:rsidR="00F91737" w:rsidRPr="00BE6C26" w:rsidRDefault="00F91737" w:rsidP="00F91737">
      <w:pPr>
        <w:numPr>
          <w:ilvl w:val="0"/>
          <w:numId w:val="18"/>
        </w:numPr>
        <w:shd w:val="clear" w:color="auto" w:fill="FFFFFF"/>
        <w:spacing w:before="100" w:beforeAutospacing="1" w:after="100" w:afterAutospacing="1"/>
        <w:rPr>
          <w:color w:val="333333"/>
        </w:rPr>
      </w:pPr>
      <w:r w:rsidRPr="00BE6C26">
        <w:rPr>
          <w:color w:val="333333"/>
        </w:rPr>
        <w:t>Housing Suspension (if applicable</w:t>
      </w:r>
      <w:proofErr w:type="gramStart"/>
      <w:r w:rsidRPr="00BE6C26">
        <w:rPr>
          <w:color w:val="333333"/>
        </w:rPr>
        <w:t>);</w:t>
      </w:r>
      <w:proofErr w:type="gramEnd"/>
    </w:p>
    <w:p w14:paraId="5C54FBA3" w14:textId="77777777" w:rsidR="00F91737" w:rsidRPr="00BE6C26" w:rsidRDefault="00F91737" w:rsidP="00F91737">
      <w:pPr>
        <w:numPr>
          <w:ilvl w:val="0"/>
          <w:numId w:val="18"/>
        </w:numPr>
        <w:shd w:val="clear" w:color="auto" w:fill="FFFFFF"/>
        <w:spacing w:before="100" w:beforeAutospacing="1" w:after="100" w:afterAutospacing="1"/>
        <w:rPr>
          <w:color w:val="333333"/>
        </w:rPr>
      </w:pPr>
      <w:r w:rsidRPr="00BE6C26">
        <w:rPr>
          <w:color w:val="333333"/>
        </w:rPr>
        <w:t xml:space="preserve">$300 </w:t>
      </w:r>
      <w:proofErr w:type="gramStart"/>
      <w:r w:rsidRPr="00BE6C26">
        <w:rPr>
          <w:color w:val="333333"/>
        </w:rPr>
        <w:t>fine;</w:t>
      </w:r>
      <w:proofErr w:type="gramEnd"/>
    </w:p>
    <w:p w14:paraId="43468185" w14:textId="77777777" w:rsidR="00F91737" w:rsidRPr="00BE6C26" w:rsidRDefault="00F91737" w:rsidP="00F91737">
      <w:pPr>
        <w:numPr>
          <w:ilvl w:val="0"/>
          <w:numId w:val="18"/>
        </w:numPr>
        <w:shd w:val="clear" w:color="auto" w:fill="FFFFFF"/>
        <w:spacing w:before="100" w:beforeAutospacing="1" w:after="100" w:afterAutospacing="1"/>
        <w:rPr>
          <w:color w:val="333333"/>
        </w:rPr>
      </w:pPr>
      <w:r w:rsidRPr="00BE6C26">
        <w:rPr>
          <w:color w:val="333333"/>
        </w:rPr>
        <w:t xml:space="preserve">Individual Drug </w:t>
      </w:r>
      <w:proofErr w:type="gramStart"/>
      <w:r w:rsidRPr="00BE6C26">
        <w:rPr>
          <w:color w:val="333333"/>
        </w:rPr>
        <w:t>Education;</w:t>
      </w:r>
      <w:proofErr w:type="gramEnd"/>
    </w:p>
    <w:p w14:paraId="02E394FA" w14:textId="77777777" w:rsidR="00F91737" w:rsidRPr="00BE6C26" w:rsidRDefault="00F91737" w:rsidP="00F91737">
      <w:pPr>
        <w:numPr>
          <w:ilvl w:val="0"/>
          <w:numId w:val="18"/>
        </w:numPr>
        <w:shd w:val="clear" w:color="auto" w:fill="FFFFFF"/>
        <w:spacing w:before="100" w:beforeAutospacing="1" w:after="100" w:afterAutospacing="1"/>
        <w:rPr>
          <w:color w:val="333333"/>
        </w:rPr>
      </w:pPr>
      <w:r w:rsidRPr="00BE6C26">
        <w:rPr>
          <w:color w:val="333333"/>
        </w:rPr>
        <w:t xml:space="preserve">Parental/Guardian </w:t>
      </w:r>
      <w:proofErr w:type="gramStart"/>
      <w:r w:rsidRPr="00BE6C26">
        <w:rPr>
          <w:color w:val="333333"/>
        </w:rPr>
        <w:t>Notification;</w:t>
      </w:r>
      <w:proofErr w:type="gramEnd"/>
    </w:p>
    <w:p w14:paraId="6FD6DD23" w14:textId="77777777" w:rsidR="00F91737" w:rsidRPr="00BE6C26" w:rsidRDefault="00F91737" w:rsidP="00F91737">
      <w:pPr>
        <w:numPr>
          <w:ilvl w:val="0"/>
          <w:numId w:val="18"/>
        </w:numPr>
        <w:shd w:val="clear" w:color="auto" w:fill="FFFFFF"/>
        <w:spacing w:before="100" w:beforeAutospacing="1" w:after="100" w:afterAutospacing="1"/>
        <w:rPr>
          <w:color w:val="333333"/>
        </w:rPr>
      </w:pPr>
      <w:r w:rsidRPr="00BE6C26">
        <w:rPr>
          <w:color w:val="333333"/>
        </w:rPr>
        <w:t>12 hours community service.</w:t>
      </w:r>
    </w:p>
    <w:p w14:paraId="20EE68E7" w14:textId="77777777" w:rsidR="00F91737" w:rsidRPr="00BE6C26" w:rsidRDefault="00F91737" w:rsidP="00F91737">
      <w:pPr>
        <w:pStyle w:val="NormalWeb"/>
        <w:shd w:val="clear" w:color="auto" w:fill="FFFFFF"/>
        <w:rPr>
          <w:color w:val="333333"/>
        </w:rPr>
      </w:pPr>
      <w:r w:rsidRPr="00BE6C26">
        <w:rPr>
          <w:rStyle w:val="Strong"/>
          <w:rFonts w:eastAsiaTheme="majorEastAsia"/>
          <w:color w:val="333333"/>
        </w:rPr>
        <w:t>Third level violations</w:t>
      </w:r>
      <w:r w:rsidRPr="00BE6C26">
        <w:rPr>
          <w:color w:val="333333"/>
        </w:rPr>
        <w:t> may include but are not limited to: multiple first level or second level violations, possession of illegal or counterfeit substances and drugs, distribution, intent to distribute</w:t>
      </w:r>
    </w:p>
    <w:p w14:paraId="753B2095" w14:textId="77777777" w:rsidR="00F91737" w:rsidRPr="00BE6C26" w:rsidRDefault="00F91737" w:rsidP="00F91737">
      <w:pPr>
        <w:numPr>
          <w:ilvl w:val="0"/>
          <w:numId w:val="19"/>
        </w:numPr>
        <w:shd w:val="clear" w:color="auto" w:fill="FFFFFF"/>
        <w:spacing w:before="100" w:beforeAutospacing="1" w:after="100" w:afterAutospacing="1"/>
        <w:rPr>
          <w:color w:val="333333"/>
        </w:rPr>
      </w:pPr>
      <w:r w:rsidRPr="00BE6C26">
        <w:rPr>
          <w:color w:val="333333"/>
        </w:rPr>
        <w:t xml:space="preserve">Suspension and/or Expulsion from the </w:t>
      </w:r>
      <w:proofErr w:type="gramStart"/>
      <w:r w:rsidRPr="00BE6C26">
        <w:rPr>
          <w:color w:val="333333"/>
        </w:rPr>
        <w:t>Institute;</w:t>
      </w:r>
      <w:proofErr w:type="gramEnd"/>
    </w:p>
    <w:p w14:paraId="785DFCF2" w14:textId="77777777" w:rsidR="00F91737" w:rsidRDefault="00F91737" w:rsidP="00F91737">
      <w:pPr>
        <w:numPr>
          <w:ilvl w:val="0"/>
          <w:numId w:val="19"/>
        </w:numPr>
        <w:shd w:val="clear" w:color="auto" w:fill="FFFFFF"/>
        <w:spacing w:before="100" w:beforeAutospacing="1" w:after="100" w:afterAutospacing="1"/>
        <w:rPr>
          <w:color w:val="333333"/>
        </w:rPr>
      </w:pPr>
      <w:r w:rsidRPr="00BE6C26">
        <w:rPr>
          <w:color w:val="333333"/>
        </w:rPr>
        <w:t xml:space="preserve">Parental/Guardian </w:t>
      </w:r>
      <w:proofErr w:type="gramStart"/>
      <w:r w:rsidRPr="00BE6C26">
        <w:rPr>
          <w:color w:val="333333"/>
        </w:rPr>
        <w:t>Notification;</w:t>
      </w:r>
      <w:proofErr w:type="gramEnd"/>
    </w:p>
    <w:p w14:paraId="48BDC3D4" w14:textId="77777777" w:rsidR="00F91737" w:rsidRPr="00E25CCB" w:rsidRDefault="00F91737" w:rsidP="00F91737">
      <w:pPr>
        <w:shd w:val="clear" w:color="auto" w:fill="FFFFFF"/>
        <w:spacing w:before="100" w:beforeAutospacing="1" w:after="100" w:afterAutospacing="1"/>
        <w:rPr>
          <w:b/>
          <w:i/>
          <w:color w:val="333333"/>
        </w:rPr>
      </w:pPr>
      <w:r w:rsidRPr="00E25CCB">
        <w:rPr>
          <w:b/>
          <w:i/>
          <w:color w:val="222222"/>
        </w:rPr>
        <w:t>Federal and Massachusetts Sanctions</w:t>
      </w:r>
    </w:p>
    <w:p w14:paraId="330E75DB" w14:textId="77777777" w:rsidR="00F91737" w:rsidRPr="00F91737" w:rsidRDefault="00F91737" w:rsidP="00F91737">
      <w:pPr>
        <w:pStyle w:val="NormalWeb"/>
        <w:shd w:val="clear" w:color="auto" w:fill="FFFFFF"/>
        <w:spacing w:after="0" w:afterAutospacing="0"/>
        <w:rPr>
          <w:color w:val="333333"/>
        </w:rPr>
      </w:pPr>
      <w:r w:rsidRPr="00BE6C26">
        <w:rPr>
          <w:color w:val="333333"/>
        </w:rPr>
        <w:t>The penalties for possession and distribution of illegal drugs and controlled substances are found on the U.S. Drug Enforcement Administration web site at </w:t>
      </w:r>
      <w:hyperlink r:id="rId13" w:history="1">
        <w:r w:rsidRPr="00BE6C26">
          <w:rPr>
            <w:rStyle w:val="Hyperlink"/>
            <w:rFonts w:eastAsia="PMingLiU"/>
            <w:color w:val="D10003"/>
          </w:rPr>
          <w:t>http://www.dea.gov/index.shtml</w:t>
        </w:r>
      </w:hyperlink>
      <w:r w:rsidRPr="00BE6C26">
        <w:rPr>
          <w:color w:val="333333"/>
        </w:rPr>
        <w:t xml:space="preserve">. Massachusetts penalties for possession and distribution of illegal drugs and controlled substances are located at M. G.L, Chapter 94C. Persons convicted of drug </w:t>
      </w:r>
      <w:r w:rsidRPr="00F91737">
        <w:rPr>
          <w:color w:val="333333"/>
        </w:rPr>
        <w:t>offenses can lose their licenses for up to five years.</w:t>
      </w:r>
    </w:p>
    <w:p w14:paraId="5D25228F" w14:textId="77777777" w:rsidR="00985308" w:rsidRDefault="00985308" w:rsidP="005D7C5A">
      <w:pPr>
        <w:pStyle w:val="Heading1"/>
        <w:spacing w:before="100" w:beforeAutospacing="1" w:after="100" w:afterAutospacing="1"/>
      </w:pPr>
      <w:bookmarkStart w:id="15" w:name="_Toc59379465"/>
      <w:r w:rsidRPr="005D7C5A">
        <w:t>Implementation of Policy</w:t>
      </w:r>
      <w:bookmarkEnd w:id="15"/>
    </w:p>
    <w:p w14:paraId="74ABAA7A" w14:textId="48B68659" w:rsidR="00985308" w:rsidRPr="00D5526B" w:rsidRDefault="00985308" w:rsidP="00985308">
      <w:pPr>
        <w:rPr>
          <w:b/>
          <w:sz w:val="40"/>
          <w:szCs w:val="40"/>
          <w:u w:val="single"/>
        </w:rPr>
      </w:pPr>
    </w:p>
    <w:p w14:paraId="535766AF" w14:textId="77777777" w:rsidR="00163AA3" w:rsidRDefault="00163AA3" w:rsidP="00163AA3">
      <w:pPr>
        <w:jc w:val="center"/>
        <w:rPr>
          <w:sz w:val="48"/>
          <w:szCs w:val="48"/>
        </w:rPr>
      </w:pPr>
      <w:bookmarkStart w:id="16" w:name="_Hlk513801297"/>
      <w:r>
        <w:rPr>
          <w:sz w:val="48"/>
          <w:szCs w:val="48"/>
        </w:rPr>
        <w:t>Incident Reports involving</w:t>
      </w:r>
      <w:r w:rsidRPr="00C97B93">
        <w:rPr>
          <w:sz w:val="48"/>
          <w:szCs w:val="48"/>
        </w:rPr>
        <w:t xml:space="preserve"> Alcohol and Drug Violations </w:t>
      </w:r>
    </w:p>
    <w:p w14:paraId="5B0B30FF" w14:textId="77777777" w:rsidR="00163AA3" w:rsidRDefault="00163AA3" w:rsidP="00163AA3">
      <w:pPr>
        <w:jc w:val="center"/>
        <w:rPr>
          <w:sz w:val="48"/>
          <w:szCs w:val="48"/>
        </w:rPr>
      </w:pPr>
      <w:r>
        <w:rPr>
          <w:sz w:val="48"/>
          <w:szCs w:val="48"/>
        </w:rPr>
        <w:t xml:space="preserve">Fall </w:t>
      </w:r>
      <w:r w:rsidRPr="00C97B93">
        <w:rPr>
          <w:sz w:val="48"/>
          <w:szCs w:val="48"/>
        </w:rPr>
        <w:t>2006</w:t>
      </w:r>
      <w:r>
        <w:rPr>
          <w:sz w:val="48"/>
          <w:szCs w:val="48"/>
        </w:rPr>
        <w:t xml:space="preserve"> – Spring 2020</w:t>
      </w:r>
    </w:p>
    <w:p w14:paraId="2289145C" w14:textId="77777777" w:rsidR="00163AA3" w:rsidRDefault="00163AA3" w:rsidP="00163AA3">
      <w:pPr>
        <w:jc w:val="center"/>
        <w:rPr>
          <w:sz w:val="48"/>
          <w:szCs w:val="48"/>
        </w:rPr>
      </w:pPr>
      <w:r w:rsidRPr="00C97B93">
        <w:rPr>
          <w:b/>
          <w:noProof/>
          <w:sz w:val="48"/>
          <w:szCs w:val="48"/>
        </w:rPr>
        <w:lastRenderedPageBreak/>
        <w:drawing>
          <wp:inline distT="0" distB="0" distL="0" distR="0" wp14:anchorId="0A3FD609" wp14:editId="18A4B691">
            <wp:extent cx="6614160" cy="3169920"/>
            <wp:effectExtent l="0" t="0" r="15240"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16"/>
    <w:p w14:paraId="533DF07D" w14:textId="77777777" w:rsidR="00163AA3" w:rsidRDefault="00163AA3" w:rsidP="00163AA3">
      <w:pPr>
        <w:tabs>
          <w:tab w:val="left" w:pos="8805"/>
        </w:tabs>
        <w:rPr>
          <w:sz w:val="28"/>
          <w:szCs w:val="48"/>
        </w:rPr>
      </w:pPr>
      <w:r>
        <w:rPr>
          <w:sz w:val="28"/>
          <w:szCs w:val="48"/>
        </w:rPr>
        <w:t>* Classes in the Spring online</w:t>
      </w:r>
    </w:p>
    <w:p w14:paraId="5A3CF511" w14:textId="2AFE9B41" w:rsidR="00985308" w:rsidRDefault="00985308" w:rsidP="00985308">
      <w:pPr>
        <w:rPr>
          <w:sz w:val="40"/>
          <w:szCs w:val="40"/>
        </w:rPr>
      </w:pPr>
    </w:p>
    <w:p w14:paraId="6F927074" w14:textId="77777777" w:rsidR="00985308" w:rsidRDefault="00985308" w:rsidP="00985308">
      <w:pPr>
        <w:rPr>
          <w:sz w:val="40"/>
          <w:szCs w:val="40"/>
        </w:rPr>
      </w:pPr>
    </w:p>
    <w:p w14:paraId="5FF105D4" w14:textId="2116599A" w:rsidR="00985308" w:rsidRDefault="00985308" w:rsidP="00603DF4">
      <w:r>
        <w:t xml:space="preserve">As indicated by the data shown above from the </w:t>
      </w:r>
      <w:r w:rsidR="00E12F75">
        <w:t xml:space="preserve">incident reports </w:t>
      </w:r>
      <w:r>
        <w:t>from Fall of 2006 until the Spring of 20</w:t>
      </w:r>
      <w:r w:rsidR="00603DF4">
        <w:t>20</w:t>
      </w:r>
      <w:r>
        <w:t>, we have noticed a decreasing trend of</w:t>
      </w:r>
      <w:r w:rsidR="00603DF4">
        <w:t xml:space="preserve"> incidents. Notably, we see a continued decline in alcohol violations and a</w:t>
      </w:r>
      <w:r w:rsidR="00566099">
        <w:t xml:space="preserve"> steady report of</w:t>
      </w:r>
      <w:r w:rsidR="00603DF4">
        <w:t xml:space="preserve"> our drug incidents. This aligns with ACHA-NCHA</w:t>
      </w:r>
      <w:r w:rsidR="00F0581B">
        <w:t xml:space="preserve"> III</w:t>
      </w:r>
      <w:r w:rsidR="00603DF4">
        <w:t xml:space="preserve"> results of our </w:t>
      </w:r>
      <w:r w:rsidR="00EF2D65">
        <w:t>student’s</w:t>
      </w:r>
      <w:r w:rsidR="00603DF4">
        <w:t xml:space="preserve"> </w:t>
      </w:r>
      <w:r w:rsidR="007F5747">
        <w:t xml:space="preserve">substance use consumption </w:t>
      </w:r>
      <w:r w:rsidR="00603DF4">
        <w:t xml:space="preserve">in comparison to their collegiate peers. </w:t>
      </w:r>
    </w:p>
    <w:p w14:paraId="23F70575" w14:textId="4A6A2353" w:rsidR="00985308" w:rsidRDefault="00163AA3" w:rsidP="00985308">
      <w:pPr>
        <w:pStyle w:val="Heading2"/>
      </w:pPr>
      <w:bookmarkStart w:id="17" w:name="_Toc59379466"/>
      <w:r>
        <w:t>Sanctions Issued:</w:t>
      </w:r>
      <w:bookmarkEnd w:id="17"/>
    </w:p>
    <w:p w14:paraId="64D9FED1" w14:textId="1A1185B3" w:rsidR="001323CE" w:rsidRDefault="001323CE" w:rsidP="001323CE"/>
    <w:p w14:paraId="12C07FF0" w14:textId="77777777" w:rsidR="00163AA3" w:rsidRPr="0019572B" w:rsidRDefault="00163AA3" w:rsidP="00163AA3">
      <w:pPr>
        <w:rPr>
          <w:b/>
          <w:bCs/>
          <w:u w:val="single"/>
        </w:rPr>
      </w:pPr>
      <w:r w:rsidRPr="0019572B">
        <w:rPr>
          <w:b/>
          <w:bCs/>
          <w:u w:val="single"/>
        </w:rPr>
        <w:t xml:space="preserve">Data from September 1, 2018-August 31, 2019 </w:t>
      </w:r>
    </w:p>
    <w:p w14:paraId="7DF8C545" w14:textId="77777777" w:rsidR="00163AA3" w:rsidRDefault="00163AA3" w:rsidP="00163AA3">
      <w:pPr>
        <w:rPr>
          <w:b/>
          <w:bCs/>
        </w:rPr>
      </w:pPr>
    </w:p>
    <w:p w14:paraId="4BB4D2EA" w14:textId="3742A739" w:rsidR="00163AA3" w:rsidRPr="005158C1" w:rsidRDefault="00163AA3" w:rsidP="00163AA3">
      <w:pPr>
        <w:rPr>
          <w:b/>
          <w:bCs/>
          <w:i/>
          <w:iCs/>
        </w:rPr>
      </w:pPr>
      <w:r w:rsidRPr="005158C1">
        <w:rPr>
          <w:b/>
          <w:bCs/>
          <w:i/>
          <w:iCs/>
        </w:rPr>
        <w:t xml:space="preserve">Alcohol </w:t>
      </w:r>
    </w:p>
    <w:p w14:paraId="730C35BE" w14:textId="77777777" w:rsidR="00163AA3" w:rsidRDefault="00163AA3" w:rsidP="00163AA3">
      <w:r>
        <w:t xml:space="preserve"> </w:t>
      </w:r>
      <w:r w:rsidRPr="00DF3C00">
        <w:rPr>
          <w:b/>
          <w:bCs/>
        </w:rPr>
        <w:t>First level alcohol violations</w:t>
      </w:r>
      <w:r>
        <w:t>: Alcohol Education Class- 50 students</w:t>
      </w:r>
    </w:p>
    <w:p w14:paraId="3676B8F4" w14:textId="77777777" w:rsidR="00163AA3" w:rsidRDefault="00163AA3" w:rsidP="00163AA3">
      <w:r>
        <w:t xml:space="preserve"> Additional Educational Method (campaign/ assessment/ review/project)- 11</w:t>
      </w:r>
    </w:p>
    <w:p w14:paraId="03A23718" w14:textId="77777777" w:rsidR="00163AA3" w:rsidRDefault="00163AA3" w:rsidP="00163AA3">
      <w:r w:rsidRPr="00DF3C00">
        <w:rPr>
          <w:b/>
          <w:bCs/>
        </w:rPr>
        <w:t xml:space="preserve"> Second level alcohol violations:</w:t>
      </w:r>
      <w:r>
        <w:t xml:space="preserve"> Individual Alcohol Education- </w:t>
      </w:r>
      <w:r w:rsidRPr="00E55702">
        <w:t>16 students</w:t>
      </w:r>
      <w:r>
        <w:t xml:space="preserve"> </w:t>
      </w:r>
    </w:p>
    <w:p w14:paraId="0245AF12" w14:textId="77777777" w:rsidR="00163AA3" w:rsidRDefault="00163AA3" w:rsidP="00163AA3">
      <w:r w:rsidRPr="00DF3C00">
        <w:rPr>
          <w:b/>
          <w:bCs/>
        </w:rPr>
        <w:t>Third level alcohol and/or drug violations:</w:t>
      </w:r>
      <w:r>
        <w:t xml:space="preserve">  These students were assessed together. They consist of those who were in violation either by intensity of violation or by good Samaritan Policy. All students went through extensive individualized alcohol education meeting with Prevention Individual Assessment- </w:t>
      </w:r>
      <w:r w:rsidRPr="006052B3">
        <w:t>3</w:t>
      </w:r>
      <w:r>
        <w:t xml:space="preserve"> Illegal and Controlled Substances and Prescription Drugs: 3</w:t>
      </w:r>
    </w:p>
    <w:p w14:paraId="465A012F" w14:textId="77777777" w:rsidR="00163AA3" w:rsidRPr="00E55702" w:rsidRDefault="00163AA3" w:rsidP="00163AA3">
      <w:pPr>
        <w:rPr>
          <w:b/>
          <w:bCs/>
        </w:rPr>
      </w:pPr>
    </w:p>
    <w:p w14:paraId="05EC3D88" w14:textId="77777777" w:rsidR="00163AA3" w:rsidRPr="005158C1" w:rsidRDefault="00163AA3" w:rsidP="00163AA3">
      <w:pPr>
        <w:rPr>
          <w:b/>
          <w:bCs/>
          <w:i/>
          <w:iCs/>
        </w:rPr>
      </w:pPr>
      <w:r w:rsidRPr="005158C1">
        <w:rPr>
          <w:b/>
          <w:bCs/>
          <w:i/>
          <w:iCs/>
        </w:rPr>
        <w:t xml:space="preserve">Drug </w:t>
      </w:r>
    </w:p>
    <w:p w14:paraId="53014047" w14:textId="77777777" w:rsidR="00163AA3" w:rsidRDefault="00163AA3" w:rsidP="00163AA3">
      <w:r w:rsidRPr="006052B3">
        <w:rPr>
          <w:b/>
          <w:bCs/>
        </w:rPr>
        <w:t>First level Substance violations</w:t>
      </w:r>
      <w:r>
        <w:t xml:space="preserve">: Drug Education Class- 33 students </w:t>
      </w:r>
    </w:p>
    <w:p w14:paraId="720BD4A2" w14:textId="77777777" w:rsidR="00163AA3" w:rsidRDefault="00163AA3" w:rsidP="00163AA3">
      <w:r>
        <w:t>Additional Educational Method (campaign/ assessment/ review/ project)- 7</w:t>
      </w:r>
    </w:p>
    <w:p w14:paraId="4AE939D2" w14:textId="77777777" w:rsidR="00163AA3" w:rsidRDefault="00163AA3" w:rsidP="00163AA3">
      <w:r w:rsidRPr="006052B3">
        <w:rPr>
          <w:b/>
          <w:bCs/>
        </w:rPr>
        <w:t>Second Level Substance Violations</w:t>
      </w:r>
      <w:r>
        <w:t xml:space="preserve">: 5 </w:t>
      </w:r>
    </w:p>
    <w:p w14:paraId="7EEADA2A" w14:textId="0B9EFE22" w:rsidR="00163AA3" w:rsidRDefault="00163AA3" w:rsidP="00985308">
      <w:pPr>
        <w:rPr>
          <w:rStyle w:val="Strong"/>
          <w:rFonts w:eastAsiaTheme="majorEastAsia"/>
          <w:color w:val="333333"/>
        </w:rPr>
      </w:pPr>
    </w:p>
    <w:p w14:paraId="6D880875" w14:textId="34C6DA9C" w:rsidR="00163AA3" w:rsidRPr="0019572B" w:rsidRDefault="0019572B" w:rsidP="00985308">
      <w:pPr>
        <w:rPr>
          <w:b/>
          <w:bCs/>
          <w:u w:val="single"/>
        </w:rPr>
      </w:pPr>
      <w:r w:rsidRPr="0019572B">
        <w:rPr>
          <w:b/>
          <w:bCs/>
          <w:u w:val="single"/>
        </w:rPr>
        <w:t>Data from September 1, 2019-August 31, 2020</w:t>
      </w:r>
    </w:p>
    <w:p w14:paraId="4BBD6EC2" w14:textId="77777777" w:rsidR="0019572B" w:rsidRDefault="0019572B" w:rsidP="00985308">
      <w:pPr>
        <w:rPr>
          <w:b/>
          <w:bCs/>
        </w:rPr>
      </w:pPr>
    </w:p>
    <w:p w14:paraId="54C05933" w14:textId="6650726D" w:rsidR="0019572B" w:rsidRPr="005158C1" w:rsidRDefault="0019572B" w:rsidP="0019572B">
      <w:pPr>
        <w:rPr>
          <w:b/>
          <w:bCs/>
          <w:i/>
          <w:iCs/>
        </w:rPr>
      </w:pPr>
      <w:r w:rsidRPr="005158C1">
        <w:rPr>
          <w:b/>
          <w:bCs/>
          <w:i/>
          <w:iCs/>
        </w:rPr>
        <w:t>Alcohol</w:t>
      </w:r>
    </w:p>
    <w:p w14:paraId="722ADB28" w14:textId="5D7A7828" w:rsidR="0019572B" w:rsidRDefault="0019572B" w:rsidP="0019572B">
      <w:r w:rsidRPr="00DF3C00">
        <w:rPr>
          <w:b/>
          <w:bCs/>
        </w:rPr>
        <w:t>First level alcohol violations</w:t>
      </w:r>
      <w:r>
        <w:t xml:space="preserve">: Alcohol Education Class- </w:t>
      </w:r>
      <w:r w:rsidR="00900D5B">
        <w:t>61</w:t>
      </w:r>
      <w:r>
        <w:t xml:space="preserve"> students</w:t>
      </w:r>
    </w:p>
    <w:p w14:paraId="3E609097" w14:textId="160182E8" w:rsidR="00900D5B" w:rsidRPr="00900D5B" w:rsidRDefault="00900D5B" w:rsidP="0019572B">
      <w:r>
        <w:rPr>
          <w:b/>
          <w:bCs/>
        </w:rPr>
        <w:lastRenderedPageBreak/>
        <w:t xml:space="preserve">First level alcohol fine: </w:t>
      </w:r>
      <w:r w:rsidR="0083330A">
        <w:t>50</w:t>
      </w:r>
      <w:r>
        <w:t xml:space="preserve"> students </w:t>
      </w:r>
    </w:p>
    <w:p w14:paraId="6BCD7388" w14:textId="77777777" w:rsidR="0083330A" w:rsidRDefault="0019572B" w:rsidP="0019572B">
      <w:r w:rsidRPr="00DF3C00">
        <w:rPr>
          <w:b/>
          <w:bCs/>
        </w:rPr>
        <w:t>Second level alcohol violations:</w:t>
      </w:r>
      <w:r>
        <w:t xml:space="preserve"> Individual Alcohol Education- </w:t>
      </w:r>
      <w:r w:rsidR="00900D5B">
        <w:t>1</w:t>
      </w:r>
      <w:r w:rsidR="0083330A">
        <w:t>1</w:t>
      </w:r>
      <w:r w:rsidRPr="00E55702">
        <w:t xml:space="preserve"> students</w:t>
      </w:r>
    </w:p>
    <w:p w14:paraId="7BA52156" w14:textId="26315B17" w:rsidR="0019572B" w:rsidRPr="0083330A" w:rsidRDefault="0083330A" w:rsidP="0019572B">
      <w:pPr>
        <w:rPr>
          <w:b/>
          <w:bCs/>
        </w:rPr>
      </w:pPr>
      <w:r w:rsidRPr="0083330A">
        <w:rPr>
          <w:b/>
          <w:bCs/>
        </w:rPr>
        <w:t xml:space="preserve">Second </w:t>
      </w:r>
      <w:r>
        <w:rPr>
          <w:b/>
          <w:bCs/>
        </w:rPr>
        <w:t>level alcohol fine:</w:t>
      </w:r>
      <w:r>
        <w:t xml:space="preserve"> 17 students</w:t>
      </w:r>
      <w:r w:rsidR="0019572B" w:rsidRPr="0083330A">
        <w:rPr>
          <w:b/>
          <w:bCs/>
        </w:rPr>
        <w:t xml:space="preserve"> </w:t>
      </w:r>
    </w:p>
    <w:p w14:paraId="08FCE28C" w14:textId="65E6DFE7" w:rsidR="0019572B" w:rsidRDefault="0019572B" w:rsidP="0019572B">
      <w:r w:rsidRPr="00DF3C00">
        <w:rPr>
          <w:b/>
          <w:bCs/>
        </w:rPr>
        <w:t>Third level alcohol violations:</w:t>
      </w:r>
      <w:r>
        <w:t xml:space="preserve"> </w:t>
      </w:r>
      <w:r w:rsidR="005421B6">
        <w:t xml:space="preserve">Mandated Assessment- </w:t>
      </w:r>
      <w:r w:rsidR="00900D5B">
        <w:t>6 students</w:t>
      </w:r>
    </w:p>
    <w:p w14:paraId="688BC38A" w14:textId="77777777" w:rsidR="0019572B" w:rsidRPr="00E55702" w:rsidRDefault="0019572B" w:rsidP="0019572B">
      <w:pPr>
        <w:rPr>
          <w:b/>
          <w:bCs/>
        </w:rPr>
      </w:pPr>
    </w:p>
    <w:p w14:paraId="54D96531" w14:textId="77777777" w:rsidR="0019572B" w:rsidRPr="005158C1" w:rsidRDefault="0019572B" w:rsidP="0019572B">
      <w:pPr>
        <w:rPr>
          <w:b/>
          <w:bCs/>
          <w:i/>
          <w:iCs/>
        </w:rPr>
      </w:pPr>
      <w:r w:rsidRPr="005158C1">
        <w:rPr>
          <w:b/>
          <w:bCs/>
          <w:i/>
          <w:iCs/>
        </w:rPr>
        <w:t xml:space="preserve">Drug </w:t>
      </w:r>
    </w:p>
    <w:p w14:paraId="330BDD65" w14:textId="55AA4876" w:rsidR="0019572B" w:rsidRDefault="0019572B" w:rsidP="0019572B">
      <w:r w:rsidRPr="006052B3">
        <w:rPr>
          <w:b/>
          <w:bCs/>
        </w:rPr>
        <w:t>First level Substance violations</w:t>
      </w:r>
      <w:r>
        <w:t xml:space="preserve">: Drug Education Class- </w:t>
      </w:r>
      <w:r w:rsidR="00900D5B">
        <w:t>9</w:t>
      </w:r>
      <w:r>
        <w:t xml:space="preserve"> students </w:t>
      </w:r>
    </w:p>
    <w:p w14:paraId="00AACD55" w14:textId="5B0F8D2B" w:rsidR="00900D5B" w:rsidRPr="00900D5B" w:rsidRDefault="00900D5B" w:rsidP="0019572B">
      <w:r w:rsidRPr="00900D5B">
        <w:rPr>
          <w:b/>
          <w:bCs/>
        </w:rPr>
        <w:t>First Level Drug Fine:</w:t>
      </w:r>
      <w:r>
        <w:rPr>
          <w:b/>
          <w:bCs/>
        </w:rPr>
        <w:t xml:space="preserve"> </w:t>
      </w:r>
      <w:r>
        <w:t>12 Students</w:t>
      </w:r>
    </w:p>
    <w:p w14:paraId="55979F4B" w14:textId="395A3B86" w:rsidR="0019572B" w:rsidRDefault="0019572B" w:rsidP="0019572B">
      <w:r w:rsidRPr="006052B3">
        <w:rPr>
          <w:b/>
          <w:bCs/>
        </w:rPr>
        <w:t>Second Level Substance Violations</w:t>
      </w:r>
      <w:r>
        <w:t xml:space="preserve">: 5 </w:t>
      </w:r>
      <w:r w:rsidR="00900D5B">
        <w:t>Students</w:t>
      </w:r>
    </w:p>
    <w:p w14:paraId="337CC5E3" w14:textId="77777777" w:rsidR="0019572B" w:rsidRDefault="0019572B" w:rsidP="00985308">
      <w:pPr>
        <w:rPr>
          <w:rStyle w:val="Strong"/>
          <w:rFonts w:eastAsiaTheme="majorEastAsia"/>
          <w:color w:val="333333"/>
        </w:rPr>
      </w:pPr>
    </w:p>
    <w:p w14:paraId="639E5C11" w14:textId="77777777" w:rsidR="00163AA3" w:rsidRDefault="00163AA3" w:rsidP="00985308">
      <w:pPr>
        <w:rPr>
          <w:rStyle w:val="Strong"/>
          <w:rFonts w:eastAsiaTheme="majorEastAsia"/>
          <w:color w:val="333333"/>
        </w:rPr>
      </w:pPr>
    </w:p>
    <w:p w14:paraId="7CBC2067" w14:textId="77777777" w:rsidR="00985308" w:rsidRPr="000F7626" w:rsidRDefault="00985308" w:rsidP="00AE0666">
      <w:pPr>
        <w:pStyle w:val="Heading1"/>
        <w:spacing w:before="0"/>
      </w:pPr>
      <w:bookmarkStart w:id="18" w:name="_Toc59379467"/>
      <w:r w:rsidRPr="001323CE">
        <w:t>Summaries of the AOD program strengths and weaknesses</w:t>
      </w:r>
      <w:bookmarkEnd w:id="18"/>
    </w:p>
    <w:p w14:paraId="58340295" w14:textId="77777777" w:rsidR="00985308" w:rsidRDefault="00985308" w:rsidP="00985308"/>
    <w:p w14:paraId="5E53EF02" w14:textId="77777777" w:rsidR="00985308" w:rsidRPr="00A14DC4" w:rsidRDefault="00985308" w:rsidP="00985308">
      <w:pPr>
        <w:pStyle w:val="Heading2"/>
      </w:pPr>
      <w:bookmarkStart w:id="19" w:name="_Toc59379468"/>
      <w:r w:rsidRPr="00A14DC4">
        <w:t>Strengths</w:t>
      </w:r>
      <w:bookmarkEnd w:id="19"/>
      <w:r w:rsidRPr="00A14DC4">
        <w:t xml:space="preserve"> </w:t>
      </w:r>
    </w:p>
    <w:p w14:paraId="55051A9C" w14:textId="77777777" w:rsidR="00985308" w:rsidRDefault="00985308" w:rsidP="00985308">
      <w:pPr>
        <w:ind w:left="1080"/>
      </w:pPr>
    </w:p>
    <w:p w14:paraId="3FDAA851" w14:textId="77777777" w:rsidR="00985308" w:rsidRPr="00A14DC4" w:rsidRDefault="00985308" w:rsidP="00985308">
      <w:pPr>
        <w:numPr>
          <w:ilvl w:val="0"/>
          <w:numId w:val="2"/>
        </w:numPr>
      </w:pPr>
      <w:r w:rsidRPr="00A14DC4">
        <w:t xml:space="preserve">Small campus community </w:t>
      </w:r>
      <w:r>
        <w:t>that makes it an intimate environment to organize outreach efforts.</w:t>
      </w:r>
    </w:p>
    <w:p w14:paraId="531F8BA7" w14:textId="77777777" w:rsidR="00621CCC" w:rsidRDefault="00985308" w:rsidP="00621CCC">
      <w:pPr>
        <w:numPr>
          <w:ilvl w:val="0"/>
          <w:numId w:val="3"/>
        </w:numPr>
      </w:pPr>
      <w:r w:rsidRPr="00A14DC4">
        <w:t xml:space="preserve">Student relationships and approachability </w:t>
      </w:r>
      <w:r w:rsidR="00621CCC">
        <w:t>to the various offices that are involved in education and outreach.</w:t>
      </w:r>
    </w:p>
    <w:p w14:paraId="078066CF" w14:textId="1E844388" w:rsidR="00985308" w:rsidRDefault="00985308" w:rsidP="00621CCC">
      <w:pPr>
        <w:numPr>
          <w:ilvl w:val="0"/>
          <w:numId w:val="3"/>
        </w:numPr>
      </w:pPr>
      <w:r>
        <w:t xml:space="preserve">A budget that will allow for us to work with vendors that will meet our needs around education, prevention and outreach for substance use and abuse. </w:t>
      </w:r>
    </w:p>
    <w:p w14:paraId="22BB3207" w14:textId="7FD6CC05" w:rsidR="00621CCC" w:rsidRDefault="00621CCC" w:rsidP="00985308">
      <w:pPr>
        <w:numPr>
          <w:ilvl w:val="0"/>
          <w:numId w:val="4"/>
        </w:numPr>
      </w:pPr>
      <w:r>
        <w:t xml:space="preserve">The ability to provide large-scale surveying to better identify, understand, and address student issues and concerns. </w:t>
      </w:r>
    </w:p>
    <w:p w14:paraId="63F4BDFB" w14:textId="0545B2F3" w:rsidR="00985308" w:rsidRDefault="00985308" w:rsidP="00985308">
      <w:pPr>
        <w:numPr>
          <w:ilvl w:val="0"/>
          <w:numId w:val="4"/>
        </w:numPr>
      </w:pPr>
      <w:r>
        <w:t>Strong campus partner</w:t>
      </w:r>
      <w:r w:rsidR="00621CCC">
        <w:t xml:space="preserve"> collaborations on program efforts and student involvement in those efforts.</w:t>
      </w:r>
    </w:p>
    <w:p w14:paraId="3F293B86" w14:textId="77777777" w:rsidR="00985308" w:rsidRPr="00A14DC4" w:rsidRDefault="00985308" w:rsidP="00985308">
      <w:pPr>
        <w:numPr>
          <w:ilvl w:val="0"/>
          <w:numId w:val="4"/>
        </w:numPr>
      </w:pPr>
      <w:r>
        <w:t>Peer health educators that have a structured programming model that guides their programming efforts around substance use and abuse</w:t>
      </w:r>
    </w:p>
    <w:p w14:paraId="2BDD4864" w14:textId="6C00F927" w:rsidR="00985308" w:rsidRDefault="00985308" w:rsidP="00621CCC">
      <w:pPr>
        <w:numPr>
          <w:ilvl w:val="0"/>
          <w:numId w:val="5"/>
        </w:numPr>
      </w:pPr>
      <w:r w:rsidRPr="00A14DC4">
        <w:t>Access to current and valid information and best practices</w:t>
      </w:r>
    </w:p>
    <w:p w14:paraId="7C6350F7" w14:textId="60DE555D" w:rsidR="00196FF1" w:rsidRPr="00D13578" w:rsidRDefault="00196FF1" w:rsidP="00621CCC">
      <w:pPr>
        <w:numPr>
          <w:ilvl w:val="0"/>
          <w:numId w:val="5"/>
        </w:numPr>
      </w:pPr>
      <w:r>
        <w:t xml:space="preserve">Recent increase to the Prevention Specialist role to focus on alcohol and substance use efforts and initiatives and to focus on creating the most effective educational interventions. </w:t>
      </w:r>
    </w:p>
    <w:p w14:paraId="632EED75" w14:textId="77777777" w:rsidR="00985308" w:rsidRPr="00DF3F5D" w:rsidRDefault="00985308" w:rsidP="00985308">
      <w:pPr>
        <w:pStyle w:val="Heading2"/>
      </w:pPr>
      <w:bookmarkStart w:id="20" w:name="_Toc59379469"/>
      <w:r w:rsidRPr="00DF3F5D">
        <w:t>Weaknesses</w:t>
      </w:r>
      <w:bookmarkEnd w:id="20"/>
      <w:r w:rsidRPr="00DF3F5D">
        <w:t xml:space="preserve"> </w:t>
      </w:r>
    </w:p>
    <w:p w14:paraId="1A588623" w14:textId="77777777" w:rsidR="00985308" w:rsidRDefault="00985308" w:rsidP="00985308">
      <w:pPr>
        <w:ind w:left="1080"/>
      </w:pPr>
    </w:p>
    <w:p w14:paraId="68C1D916" w14:textId="1D0D3613" w:rsidR="00196FF1" w:rsidRDefault="00985308" w:rsidP="00B9592C">
      <w:pPr>
        <w:numPr>
          <w:ilvl w:val="0"/>
          <w:numId w:val="7"/>
        </w:numPr>
      </w:pPr>
      <w:r>
        <w:t>There is currently no evaluation data of ADAPT, Drug Ed, and BASICS.</w:t>
      </w:r>
      <w:r w:rsidR="00196FF1">
        <w:t xml:space="preserve"> A formal evaluation has been created and revised. We are currently in the process of a distribution plan and approval from the assessment committee.</w:t>
      </w:r>
    </w:p>
    <w:p w14:paraId="1EA0ED3A" w14:textId="3448D28A" w:rsidR="00985308" w:rsidRPr="00DF3F5D" w:rsidRDefault="00985308" w:rsidP="00B9592C">
      <w:pPr>
        <w:numPr>
          <w:ilvl w:val="0"/>
          <w:numId w:val="7"/>
        </w:numPr>
      </w:pPr>
      <w:r w:rsidRPr="00DF3F5D">
        <w:t xml:space="preserve">Limited personnel devoted to alcohol and </w:t>
      </w:r>
      <w:proofErr w:type="gramStart"/>
      <w:r w:rsidRPr="00DF3F5D">
        <w:t>other</w:t>
      </w:r>
      <w:proofErr w:type="gramEnd"/>
      <w:r w:rsidRPr="00DF3F5D">
        <w:t xml:space="preserve"> drug education</w:t>
      </w:r>
    </w:p>
    <w:p w14:paraId="1EB98185" w14:textId="0117AEFC" w:rsidR="00985308" w:rsidRDefault="00985308" w:rsidP="00985308">
      <w:pPr>
        <w:numPr>
          <w:ilvl w:val="0"/>
          <w:numId w:val="7"/>
        </w:numPr>
      </w:pPr>
      <w:r w:rsidRPr="00DF3F5D">
        <w:t xml:space="preserve">Limited environmental strategies that </w:t>
      </w:r>
      <w:r w:rsidR="00196FF1">
        <w:t xml:space="preserve">can </w:t>
      </w:r>
      <w:r w:rsidRPr="00DF3F5D">
        <w:t>prevent access of alcohol to minors in the surrounding community.</w:t>
      </w:r>
    </w:p>
    <w:p w14:paraId="4DAA8EAD" w14:textId="77777777" w:rsidR="00985308" w:rsidRPr="00AB405A" w:rsidRDefault="00985308" w:rsidP="00985308">
      <w:pPr>
        <w:numPr>
          <w:ilvl w:val="0"/>
          <w:numId w:val="7"/>
        </w:numPr>
      </w:pPr>
      <w:r>
        <w:t>Limited long-term strategic planning goals currently in place for Alcohol and Other Drug Education programming plans.</w:t>
      </w:r>
    </w:p>
    <w:p w14:paraId="23306801" w14:textId="77777777" w:rsidR="00985308" w:rsidRPr="001D4F31" w:rsidRDefault="00985308" w:rsidP="005B3C62">
      <w:pPr>
        <w:pStyle w:val="Heading1"/>
      </w:pPr>
      <w:bookmarkStart w:id="21" w:name="_Toc59379470"/>
      <w:r w:rsidRPr="00125D9E">
        <w:t>Recommendations for revising AOD programs</w:t>
      </w:r>
      <w:bookmarkEnd w:id="21"/>
    </w:p>
    <w:p w14:paraId="1312AA16" w14:textId="77777777" w:rsidR="00985308" w:rsidRDefault="00985308" w:rsidP="00985308"/>
    <w:p w14:paraId="4E13B88D" w14:textId="00A6E625" w:rsidR="00985308" w:rsidRDefault="00985308" w:rsidP="00985308">
      <w:r>
        <w:t xml:space="preserve">The goal of revising the Alcohol and Other Drug Programs would be to include this in a strategic planning model within the </w:t>
      </w:r>
      <w:r w:rsidR="00196FF1">
        <w:t xml:space="preserve">Office of Health Promotion and Education. </w:t>
      </w:r>
      <w:r>
        <w:t xml:space="preserve">There would be a benefit to have long-term identified learning objectives that would be measurable and obtainable. </w:t>
      </w:r>
    </w:p>
    <w:p w14:paraId="659BD9A7" w14:textId="77777777" w:rsidR="00985308" w:rsidRDefault="00985308" w:rsidP="00985308"/>
    <w:p w14:paraId="26F9D31B" w14:textId="34B857B0" w:rsidR="00985308" w:rsidRPr="001B3838" w:rsidRDefault="00985308" w:rsidP="00985308">
      <w:r>
        <w:lastRenderedPageBreak/>
        <w:t xml:space="preserve">An additional recommendation is to </w:t>
      </w:r>
      <w:r w:rsidR="00196FF1">
        <w:t>finalize the</w:t>
      </w:r>
      <w:r>
        <w:t xml:space="preserve"> formal assessment within the sanctioning process to measure its effectiveness. The goal would be to revise educational sanctions as needed from these assessments and ensure best practices are being used within the individual meetings. </w:t>
      </w:r>
    </w:p>
    <w:p w14:paraId="59247AD0" w14:textId="77777777" w:rsidR="00985308" w:rsidRDefault="00985308" w:rsidP="00985308"/>
    <w:p w14:paraId="67886CC1" w14:textId="2E46E432" w:rsidR="00985308" w:rsidRDefault="00196FF1" w:rsidP="00985308">
      <w:r>
        <w:t>Additionally</w:t>
      </w:r>
      <w:r w:rsidR="00985308">
        <w:t>,</w:t>
      </w:r>
      <w:r>
        <w:t xml:space="preserve"> the programs would benefit from additional personnel who can do work on the sanction education</w:t>
      </w:r>
      <w:r w:rsidR="00B52EAD">
        <w:t xml:space="preserve"> and</w:t>
      </w:r>
      <w:r>
        <w:t xml:space="preserve"> programs and initiatives to the students</w:t>
      </w:r>
      <w:r w:rsidR="00B52EAD">
        <w:t>. With additional support, these individuals</w:t>
      </w:r>
      <w:r>
        <w:t xml:space="preserve"> would be able to branch out into community partnerships for </w:t>
      </w:r>
      <w:r w:rsidR="00B52EAD">
        <w:t xml:space="preserve">targeted </w:t>
      </w:r>
      <w:r>
        <w:t xml:space="preserve">alcohol-based </w:t>
      </w:r>
      <w:r w:rsidR="00B52EAD">
        <w:t xml:space="preserve">education programs to our students residing in a condensed off-campus location “on the hill” which is known as a </w:t>
      </w:r>
      <w:proofErr w:type="gramStart"/>
      <w:r w:rsidR="00B52EAD">
        <w:t>high risk</w:t>
      </w:r>
      <w:proofErr w:type="gramEnd"/>
      <w:r w:rsidR="00B52EAD">
        <w:t xml:space="preserve"> location for student drinking</w:t>
      </w:r>
      <w:r w:rsidR="005948B1">
        <w:t xml:space="preserve"> and substance use</w:t>
      </w:r>
      <w:r w:rsidR="00B52EAD">
        <w:t xml:space="preserve">. </w:t>
      </w:r>
    </w:p>
    <w:p w14:paraId="77C1173B" w14:textId="77777777" w:rsidR="00985308" w:rsidRDefault="00985308" w:rsidP="00985308">
      <w:pPr>
        <w:pStyle w:val="Heading1"/>
      </w:pPr>
      <w:bookmarkStart w:id="22" w:name="_Toc59379471"/>
      <w:r w:rsidRPr="00E7012B">
        <w:t>AOD Resources</w:t>
      </w:r>
      <w:bookmarkEnd w:id="22"/>
      <w:r w:rsidRPr="00E7012B">
        <w:t xml:space="preserve"> </w:t>
      </w:r>
    </w:p>
    <w:p w14:paraId="45A51A95" w14:textId="77777777" w:rsidR="00985308" w:rsidRPr="007105D5" w:rsidRDefault="00985308" w:rsidP="00985308">
      <w:pPr>
        <w:rPr>
          <w:sz w:val="20"/>
          <w:szCs w:val="20"/>
        </w:rPr>
      </w:pPr>
    </w:p>
    <w:p w14:paraId="69F9B28C" w14:textId="77777777" w:rsidR="00985308" w:rsidRPr="00BF0ED2" w:rsidRDefault="00985308" w:rsidP="00985308">
      <w:pPr>
        <w:pStyle w:val="Heading2"/>
      </w:pPr>
      <w:bookmarkStart w:id="23" w:name="_Toc59379472"/>
      <w:r w:rsidRPr="00BF0ED2">
        <w:t>Wentworth Resources:</w:t>
      </w:r>
      <w:bookmarkEnd w:id="23"/>
    </w:p>
    <w:p w14:paraId="2B439EB2" w14:textId="77777777" w:rsidR="00985308" w:rsidRPr="006914DF" w:rsidRDefault="00985308" w:rsidP="00985308">
      <w:pPr>
        <w:rPr>
          <w:b/>
        </w:rPr>
      </w:pPr>
    </w:p>
    <w:p w14:paraId="5C2BD37A" w14:textId="64BB896D" w:rsidR="00985308" w:rsidRDefault="00985308" w:rsidP="00985308">
      <w:pPr>
        <w:rPr>
          <w:b/>
          <w:bCs/>
        </w:rPr>
      </w:pPr>
      <w:r w:rsidRPr="006914DF">
        <w:rPr>
          <w:b/>
          <w:bCs/>
        </w:rPr>
        <w:t>The Center for Wellness</w:t>
      </w:r>
    </w:p>
    <w:p w14:paraId="185CCDBC" w14:textId="3ACAEBF1" w:rsidR="00985308" w:rsidRPr="00BF0ED2" w:rsidRDefault="00985308" w:rsidP="00985308">
      <w:r w:rsidRPr="006914DF">
        <w:t xml:space="preserve">The mission of the </w:t>
      </w:r>
      <w:r w:rsidR="00D72120">
        <w:t>Center for Wellness</w:t>
      </w:r>
      <w:r w:rsidRPr="006914DF">
        <w:t xml:space="preserve"> is to assist students with their mental health needs so that they may be success</w:t>
      </w:r>
      <w:r>
        <w:t>ful in their academic pursuits.</w:t>
      </w:r>
    </w:p>
    <w:p w14:paraId="3B4D53AE" w14:textId="77777777" w:rsidR="00985308" w:rsidRDefault="00985308" w:rsidP="00985308">
      <w:pPr>
        <w:rPr>
          <w:rStyle w:val="Hyperlink"/>
        </w:rPr>
      </w:pPr>
      <w:r w:rsidRPr="006914DF">
        <w:t xml:space="preserve">(617) 989-4390, </w:t>
      </w:r>
      <w:hyperlink r:id="rId15">
        <w:r w:rsidRPr="006914DF">
          <w:rPr>
            <w:rStyle w:val="Hyperlink"/>
          </w:rPr>
          <w:t>counseling@wit.edu</w:t>
        </w:r>
      </w:hyperlink>
      <w:r w:rsidRPr="006914DF">
        <w:t xml:space="preserve">, </w:t>
      </w:r>
      <w:hyperlink r:id="rId16" w:history="1">
        <w:r w:rsidRPr="00885D16">
          <w:rPr>
            <w:rStyle w:val="Hyperlink"/>
          </w:rPr>
          <w:t>http://wit.edu/counseling</w:t>
        </w:r>
      </w:hyperlink>
    </w:p>
    <w:p w14:paraId="208FFE66" w14:textId="77777777" w:rsidR="00985308" w:rsidRDefault="00985308" w:rsidP="00985308">
      <w:pPr>
        <w:rPr>
          <w:rStyle w:val="Hyperlink"/>
        </w:rPr>
      </w:pPr>
    </w:p>
    <w:p w14:paraId="4F1F4DC5" w14:textId="31640804" w:rsidR="00985308" w:rsidRPr="00C60780" w:rsidRDefault="00985308" w:rsidP="00985308">
      <w:pPr>
        <w:tabs>
          <w:tab w:val="left" w:pos="4052"/>
        </w:tabs>
        <w:rPr>
          <w:rStyle w:val="Hyperlink"/>
          <w:b/>
          <w:color w:val="auto"/>
          <w:u w:val="none"/>
        </w:rPr>
      </w:pPr>
      <w:r w:rsidRPr="00C60780">
        <w:rPr>
          <w:rStyle w:val="Hyperlink"/>
          <w:b/>
          <w:color w:val="auto"/>
          <w:u w:val="none"/>
        </w:rPr>
        <w:t xml:space="preserve">Office of </w:t>
      </w:r>
      <w:r w:rsidR="00C60780" w:rsidRPr="00C60780">
        <w:rPr>
          <w:rStyle w:val="Hyperlink"/>
          <w:b/>
          <w:color w:val="auto"/>
          <w:u w:val="none"/>
        </w:rPr>
        <w:t>Health Promotion and Education</w:t>
      </w:r>
    </w:p>
    <w:p w14:paraId="7EF759AD" w14:textId="585B7D3F" w:rsidR="00985308" w:rsidRPr="00BF0ED2" w:rsidRDefault="00985308" w:rsidP="00985308">
      <w:pPr>
        <w:rPr>
          <w:rStyle w:val="Hyperlink"/>
        </w:rPr>
      </w:pPr>
      <w:r w:rsidRPr="006914DF">
        <w:t xml:space="preserve">The Office of </w:t>
      </w:r>
      <w:r w:rsidR="00490D40">
        <w:t>Health Promotion and Education</w:t>
      </w:r>
      <w:r w:rsidRPr="006914DF">
        <w:t xml:space="preserve"> provides current, objective health and wellness information </w:t>
      </w:r>
      <w:r w:rsidR="00490D40">
        <w:t xml:space="preserve">on alcohol and substance use. This office provides educational sanctions for students in violation of the code of conduct. </w:t>
      </w:r>
    </w:p>
    <w:p w14:paraId="72383D40" w14:textId="266F7E7F" w:rsidR="00985308" w:rsidRPr="00E41B3A" w:rsidRDefault="00985308" w:rsidP="00985308">
      <w:r w:rsidRPr="00835629">
        <w:rPr>
          <w:rStyle w:val="Hyperlink"/>
          <w:color w:val="auto"/>
          <w:u w:val="none"/>
        </w:rPr>
        <w:t xml:space="preserve">(617) 989-4477, </w:t>
      </w:r>
      <w:hyperlink r:id="rId17" w:history="1">
        <w:r w:rsidR="00057CBE" w:rsidRPr="00D47E92">
          <w:rPr>
            <w:rStyle w:val="Hyperlink"/>
          </w:rPr>
          <w:t>HealthPromotion@wit.edu</w:t>
        </w:r>
      </w:hyperlink>
      <w:r>
        <w:rPr>
          <w:rStyle w:val="Hyperlink"/>
        </w:rPr>
        <w:t xml:space="preserve">, </w:t>
      </w:r>
      <w:hyperlink r:id="rId18" w:history="1">
        <w:r w:rsidR="00057CBE" w:rsidRPr="00D47E92">
          <w:rPr>
            <w:rStyle w:val="Hyperlink"/>
          </w:rPr>
          <w:t>https://wit.edu/health-promotion-education</w:t>
        </w:r>
      </w:hyperlink>
      <w:r w:rsidR="00057CBE">
        <w:t xml:space="preserve"> </w:t>
      </w:r>
    </w:p>
    <w:p w14:paraId="7292C6BE" w14:textId="77777777" w:rsidR="00985308" w:rsidRPr="006914DF" w:rsidRDefault="00985308" w:rsidP="00985308"/>
    <w:p w14:paraId="03DF6907" w14:textId="77777777" w:rsidR="00985308" w:rsidRDefault="00985308" w:rsidP="00985308">
      <w:pPr>
        <w:rPr>
          <w:b/>
          <w:bCs/>
        </w:rPr>
      </w:pPr>
      <w:r w:rsidRPr="006914DF">
        <w:rPr>
          <w:b/>
          <w:bCs/>
        </w:rPr>
        <w:t>Student Health Services</w:t>
      </w:r>
      <w:r>
        <w:rPr>
          <w:b/>
          <w:bCs/>
        </w:rPr>
        <w:t xml:space="preserve"> </w:t>
      </w:r>
    </w:p>
    <w:p w14:paraId="2CCCEAB7" w14:textId="77777777" w:rsidR="00985308" w:rsidRPr="006914DF" w:rsidRDefault="00985308" w:rsidP="00985308">
      <w:r>
        <w:t xml:space="preserve">Optum </w:t>
      </w:r>
      <w:r w:rsidRPr="006914DF">
        <w:t>provides primary medical care services to students enrolled at Wentworth.</w:t>
      </w:r>
    </w:p>
    <w:p w14:paraId="4C5538A9" w14:textId="0DBD9BB1" w:rsidR="00985308" w:rsidRDefault="00985308" w:rsidP="00985308">
      <w:r>
        <w:t>(617) 879-5220</w:t>
      </w:r>
      <w:r w:rsidR="00835629">
        <w:t xml:space="preserve">, </w:t>
      </w:r>
      <w:hyperlink r:id="rId19" w:history="1">
        <w:r w:rsidR="00835629" w:rsidRPr="00D47E92">
          <w:rPr>
            <w:rStyle w:val="Hyperlink"/>
          </w:rPr>
          <w:t>https://wit.edu/health-services</w:t>
        </w:r>
      </w:hyperlink>
      <w:r w:rsidR="00835629">
        <w:t xml:space="preserve"> </w:t>
      </w:r>
    </w:p>
    <w:p w14:paraId="7C6B7E7D" w14:textId="77777777" w:rsidR="00985308" w:rsidRPr="006914DF" w:rsidRDefault="00985308" w:rsidP="00985308"/>
    <w:p w14:paraId="42E06C1C" w14:textId="77777777" w:rsidR="00985308" w:rsidRPr="005B5A3C" w:rsidRDefault="00985308" w:rsidP="00985308">
      <w:pPr>
        <w:rPr>
          <w:b/>
        </w:rPr>
      </w:pPr>
      <w:r w:rsidRPr="005B5A3C">
        <w:rPr>
          <w:b/>
          <w:bCs/>
        </w:rPr>
        <w:t xml:space="preserve">Public Safety </w:t>
      </w:r>
    </w:p>
    <w:p w14:paraId="36A03AD3" w14:textId="77777777" w:rsidR="00985308" w:rsidRPr="005B5A3C" w:rsidRDefault="00985308" w:rsidP="00985308">
      <w:r w:rsidRPr="005B5A3C">
        <w:t>The primary mission of the Department of Public Safety is the protection of life and property, the prevention and detection of crime, the maintenance of public order and service to the community.</w:t>
      </w:r>
    </w:p>
    <w:p w14:paraId="3BFD8386" w14:textId="77777777" w:rsidR="00985308" w:rsidRPr="005B5A3C" w:rsidRDefault="00985308" w:rsidP="00985308">
      <w:r w:rsidRPr="005B5A3C">
        <w:t>(617) 989-4400 (non-emergency)</w:t>
      </w:r>
    </w:p>
    <w:p w14:paraId="07AB817A" w14:textId="77777777" w:rsidR="00985308" w:rsidRPr="00D13578" w:rsidRDefault="00985308" w:rsidP="00985308">
      <w:r w:rsidRPr="005B5A3C">
        <w:t>(617) 989-4444 (emergency)</w:t>
      </w:r>
    </w:p>
    <w:p w14:paraId="5992D7F8" w14:textId="77777777" w:rsidR="00985308" w:rsidRPr="00D13578" w:rsidRDefault="00985308" w:rsidP="00985308">
      <w:pPr>
        <w:rPr>
          <w:highlight w:val="yellow"/>
        </w:rPr>
      </w:pPr>
    </w:p>
    <w:p w14:paraId="71743D33" w14:textId="10F91E5B" w:rsidR="00985308" w:rsidRPr="005B5A3C" w:rsidRDefault="00057CBE" w:rsidP="00985308">
      <w:pPr>
        <w:rPr>
          <w:b/>
        </w:rPr>
      </w:pPr>
      <w:r>
        <w:rPr>
          <w:b/>
          <w:bCs/>
        </w:rPr>
        <w:t>Dean of Students Office</w:t>
      </w:r>
    </w:p>
    <w:p w14:paraId="135CD440" w14:textId="3DD2278C" w:rsidR="00985308" w:rsidRPr="005B5A3C" w:rsidRDefault="00985308" w:rsidP="00985308">
      <w:r w:rsidRPr="005B5A3C">
        <w:t xml:space="preserve">The </w:t>
      </w:r>
      <w:r w:rsidR="00057CBE">
        <w:t>Dean of Students Office</w:t>
      </w:r>
      <w:r>
        <w:t xml:space="preserve"> enforces the Wentworth </w:t>
      </w:r>
      <w:r w:rsidRPr="005B5A3C">
        <w:t>Student Code of Conduct</w:t>
      </w:r>
      <w:r w:rsidR="002827E1">
        <w:t>.</w:t>
      </w:r>
    </w:p>
    <w:p w14:paraId="6B476580" w14:textId="77777777" w:rsidR="00985308" w:rsidRDefault="00985308" w:rsidP="00985308">
      <w:pPr>
        <w:spacing w:after="360"/>
        <w:rPr>
          <w:b/>
          <w:bCs/>
          <w:u w:val="single"/>
        </w:rPr>
      </w:pPr>
      <w:r w:rsidRPr="005B5A3C">
        <w:t>(617) 989-4702</w:t>
      </w:r>
      <w:r>
        <w:t xml:space="preserve">, </w:t>
      </w:r>
      <w:hyperlink r:id="rId20">
        <w:r w:rsidRPr="005B5A3C">
          <w:rPr>
            <w:rStyle w:val="Hyperlink"/>
          </w:rPr>
          <w:t>http://www.wit.edu/sd/</w:t>
        </w:r>
      </w:hyperlink>
    </w:p>
    <w:p w14:paraId="2D0DDFEE" w14:textId="77777777" w:rsidR="00985308" w:rsidRPr="00BF0ED2" w:rsidRDefault="00985308" w:rsidP="00985308">
      <w:pPr>
        <w:pStyle w:val="Heading2"/>
      </w:pPr>
      <w:bookmarkStart w:id="24" w:name="_Toc59379473"/>
      <w:r w:rsidRPr="00BF0ED2">
        <w:t>Local &amp; National Resources:</w:t>
      </w:r>
      <w:bookmarkEnd w:id="24"/>
    </w:p>
    <w:p w14:paraId="08546DD4" w14:textId="77777777" w:rsidR="00985308" w:rsidRPr="006914DF" w:rsidRDefault="00985308" w:rsidP="00985308">
      <w:pPr>
        <w:rPr>
          <w:b/>
          <w:u w:val="single"/>
        </w:rPr>
      </w:pPr>
    </w:p>
    <w:p w14:paraId="2A06129E" w14:textId="77777777" w:rsidR="00985308" w:rsidRPr="00144412" w:rsidRDefault="00985308" w:rsidP="00985308">
      <w:pPr>
        <w:rPr>
          <w:b/>
          <w:bCs/>
          <w:szCs w:val="22"/>
        </w:rPr>
      </w:pPr>
      <w:r w:rsidRPr="00144412">
        <w:rPr>
          <w:b/>
          <w:bCs/>
          <w:szCs w:val="22"/>
        </w:rPr>
        <w:t>Massachusetts Substance Abuse Information and Education</w:t>
      </w:r>
    </w:p>
    <w:p w14:paraId="48A4832A" w14:textId="77777777" w:rsidR="00985308" w:rsidRPr="00525BB2" w:rsidRDefault="00B9592C" w:rsidP="00985308">
      <w:pPr>
        <w:rPr>
          <w:szCs w:val="22"/>
        </w:rPr>
      </w:pPr>
      <w:hyperlink r:id="rId21">
        <w:r w:rsidR="00985308" w:rsidRPr="00525BB2">
          <w:rPr>
            <w:rStyle w:val="Hyperlink"/>
            <w:szCs w:val="22"/>
          </w:rPr>
          <w:t>http://www.helpline-online.com/</w:t>
        </w:r>
      </w:hyperlink>
      <w:r w:rsidR="00985308" w:rsidRPr="00525BB2">
        <w:rPr>
          <w:szCs w:val="22"/>
        </w:rPr>
        <w:t xml:space="preserve"> </w:t>
      </w:r>
    </w:p>
    <w:p w14:paraId="6A48B61A" w14:textId="77777777" w:rsidR="00985308" w:rsidRPr="00525BB2" w:rsidRDefault="00985308" w:rsidP="00985308">
      <w:pPr>
        <w:rPr>
          <w:szCs w:val="22"/>
        </w:rPr>
      </w:pPr>
    </w:p>
    <w:p w14:paraId="027EE71B" w14:textId="77777777" w:rsidR="00985308" w:rsidRPr="00144412" w:rsidRDefault="00985308" w:rsidP="00985308">
      <w:pPr>
        <w:rPr>
          <w:b/>
          <w:bCs/>
          <w:szCs w:val="22"/>
        </w:rPr>
      </w:pPr>
      <w:r w:rsidRPr="00144412">
        <w:rPr>
          <w:b/>
          <w:bCs/>
          <w:szCs w:val="22"/>
        </w:rPr>
        <w:t>Boston ASAP</w:t>
      </w:r>
    </w:p>
    <w:p w14:paraId="694E5FDE" w14:textId="77777777" w:rsidR="00985308" w:rsidRDefault="00B9592C" w:rsidP="00985308">
      <w:pPr>
        <w:rPr>
          <w:szCs w:val="22"/>
        </w:rPr>
      </w:pPr>
      <w:hyperlink r:id="rId22" w:history="1">
        <w:r w:rsidR="00985308" w:rsidRPr="00725F83">
          <w:rPr>
            <w:rStyle w:val="Hyperlink"/>
            <w:szCs w:val="22"/>
          </w:rPr>
          <w:t>http://www.bostonasap.org/who-we-are/</w:t>
        </w:r>
      </w:hyperlink>
    </w:p>
    <w:p w14:paraId="425003EE" w14:textId="77777777" w:rsidR="00985308" w:rsidRPr="00525BB2" w:rsidRDefault="00985308" w:rsidP="00985308">
      <w:pPr>
        <w:rPr>
          <w:szCs w:val="22"/>
        </w:rPr>
      </w:pPr>
      <w:r w:rsidRPr="00525BB2">
        <w:rPr>
          <w:szCs w:val="22"/>
        </w:rPr>
        <w:lastRenderedPageBreak/>
        <w:t>617-482-5292</w:t>
      </w:r>
    </w:p>
    <w:p w14:paraId="12B3A6D8" w14:textId="77777777" w:rsidR="00985308" w:rsidRPr="00525BB2" w:rsidRDefault="00985308" w:rsidP="00985308">
      <w:pPr>
        <w:rPr>
          <w:szCs w:val="22"/>
        </w:rPr>
      </w:pPr>
    </w:p>
    <w:p w14:paraId="111456BB" w14:textId="77777777" w:rsidR="00985308" w:rsidRPr="00144412" w:rsidRDefault="00985308" w:rsidP="00985308">
      <w:pPr>
        <w:rPr>
          <w:b/>
          <w:bCs/>
          <w:szCs w:val="22"/>
        </w:rPr>
      </w:pPr>
      <w:r w:rsidRPr="00144412">
        <w:rPr>
          <w:b/>
          <w:bCs/>
          <w:szCs w:val="22"/>
        </w:rPr>
        <w:t>Massachusetts General Hospital – Addiction Recovery Management Service</w:t>
      </w:r>
    </w:p>
    <w:p w14:paraId="5450087E" w14:textId="77777777" w:rsidR="00985308" w:rsidRPr="00525BB2" w:rsidRDefault="00B9592C" w:rsidP="00985308">
      <w:pPr>
        <w:rPr>
          <w:szCs w:val="22"/>
        </w:rPr>
      </w:pPr>
      <w:hyperlink r:id="rId23" w:history="1">
        <w:r w:rsidR="00985308" w:rsidRPr="00885D16">
          <w:rPr>
            <w:rStyle w:val="Hyperlink"/>
            <w:szCs w:val="22"/>
          </w:rPr>
          <w:t>https://www.massgeneral.org/psychiatry/services/treatmentprograms.aspx?id=2090</w:t>
        </w:r>
      </w:hyperlink>
      <w:r w:rsidR="00985308">
        <w:rPr>
          <w:szCs w:val="22"/>
        </w:rPr>
        <w:t xml:space="preserve"> </w:t>
      </w:r>
    </w:p>
    <w:p w14:paraId="1D62AB55" w14:textId="77777777" w:rsidR="00985308" w:rsidRPr="00525BB2" w:rsidRDefault="00985308" w:rsidP="00985308">
      <w:pPr>
        <w:rPr>
          <w:szCs w:val="22"/>
        </w:rPr>
      </w:pPr>
      <w:r>
        <w:rPr>
          <w:szCs w:val="22"/>
        </w:rPr>
        <w:t>55 Fruit Street Boston, MA 02114</w:t>
      </w:r>
    </w:p>
    <w:p w14:paraId="6D53A262" w14:textId="77777777" w:rsidR="00985308" w:rsidRPr="00525BB2" w:rsidRDefault="00985308" w:rsidP="00985308">
      <w:pPr>
        <w:rPr>
          <w:szCs w:val="22"/>
        </w:rPr>
      </w:pPr>
    </w:p>
    <w:p w14:paraId="3C8986E2" w14:textId="77777777" w:rsidR="00985308" w:rsidRPr="00144412" w:rsidRDefault="00985308" w:rsidP="00985308">
      <w:pPr>
        <w:rPr>
          <w:b/>
          <w:bCs/>
          <w:szCs w:val="22"/>
        </w:rPr>
      </w:pPr>
      <w:r w:rsidRPr="00144412">
        <w:rPr>
          <w:b/>
          <w:bCs/>
          <w:szCs w:val="22"/>
        </w:rPr>
        <w:t>McLean Hospital – Alcohol and Drug Abuse Treatment Program</w:t>
      </w:r>
    </w:p>
    <w:p w14:paraId="7A166C68" w14:textId="155BC5F4" w:rsidR="00D56D25" w:rsidRDefault="00B9592C" w:rsidP="00985308">
      <w:hyperlink r:id="rId24" w:history="1">
        <w:r w:rsidR="00D56D25" w:rsidRPr="00D47E92">
          <w:rPr>
            <w:rStyle w:val="Hyperlink"/>
          </w:rPr>
          <w:t>https://www.mcleanhospital.org/search?text=alcohol+and+drug+abuse+treatment+program</w:t>
        </w:r>
      </w:hyperlink>
    </w:p>
    <w:p w14:paraId="7286B3E1" w14:textId="656F4E29" w:rsidR="00985308" w:rsidRPr="00525BB2" w:rsidRDefault="00985308" w:rsidP="00985308">
      <w:pPr>
        <w:rPr>
          <w:szCs w:val="22"/>
        </w:rPr>
      </w:pPr>
      <w:r w:rsidRPr="00525BB2">
        <w:rPr>
          <w:szCs w:val="22"/>
        </w:rPr>
        <w:t>1-800-333-0338</w:t>
      </w:r>
    </w:p>
    <w:p w14:paraId="2CDFE38E" w14:textId="77777777" w:rsidR="00985308" w:rsidRPr="00525BB2" w:rsidRDefault="00985308" w:rsidP="00985308">
      <w:pPr>
        <w:rPr>
          <w:szCs w:val="22"/>
        </w:rPr>
      </w:pPr>
    </w:p>
    <w:p w14:paraId="24298326" w14:textId="77777777" w:rsidR="00985308" w:rsidRPr="00144412" w:rsidRDefault="00985308" w:rsidP="00985308">
      <w:pPr>
        <w:rPr>
          <w:b/>
          <w:bCs/>
          <w:szCs w:val="22"/>
        </w:rPr>
      </w:pPr>
      <w:r w:rsidRPr="00144412">
        <w:rPr>
          <w:b/>
          <w:bCs/>
          <w:szCs w:val="22"/>
        </w:rPr>
        <w:t>Alcoholics Anonymous Central Service Committee of Eastern MA</w:t>
      </w:r>
    </w:p>
    <w:p w14:paraId="679903FF" w14:textId="77777777" w:rsidR="00985308" w:rsidRPr="00525BB2" w:rsidRDefault="00B9592C" w:rsidP="00985308">
      <w:pPr>
        <w:rPr>
          <w:szCs w:val="22"/>
        </w:rPr>
      </w:pPr>
      <w:hyperlink r:id="rId25">
        <w:r w:rsidR="00985308" w:rsidRPr="00525BB2">
          <w:rPr>
            <w:rStyle w:val="Hyperlink"/>
            <w:szCs w:val="22"/>
          </w:rPr>
          <w:t>www.aaboston.org</w:t>
        </w:r>
      </w:hyperlink>
      <w:r w:rsidR="00985308" w:rsidRPr="00525BB2">
        <w:rPr>
          <w:szCs w:val="22"/>
        </w:rPr>
        <w:t xml:space="preserve"> </w:t>
      </w:r>
    </w:p>
    <w:p w14:paraId="743B3A81" w14:textId="77777777" w:rsidR="00985308" w:rsidRPr="00525BB2" w:rsidRDefault="00985308" w:rsidP="00985308">
      <w:pPr>
        <w:rPr>
          <w:szCs w:val="22"/>
        </w:rPr>
      </w:pPr>
      <w:r w:rsidRPr="00525BB2">
        <w:rPr>
          <w:szCs w:val="22"/>
        </w:rPr>
        <w:t>1-617-426-9444</w:t>
      </w:r>
    </w:p>
    <w:p w14:paraId="1F406425" w14:textId="77777777" w:rsidR="00985308" w:rsidRPr="00525BB2" w:rsidRDefault="00985308" w:rsidP="00985308">
      <w:pPr>
        <w:rPr>
          <w:szCs w:val="22"/>
        </w:rPr>
      </w:pPr>
    </w:p>
    <w:p w14:paraId="044EADE5" w14:textId="77777777" w:rsidR="00985308" w:rsidRPr="00144412" w:rsidRDefault="00985308" w:rsidP="00985308">
      <w:pPr>
        <w:rPr>
          <w:b/>
          <w:bCs/>
          <w:szCs w:val="22"/>
        </w:rPr>
      </w:pPr>
      <w:r w:rsidRPr="00144412">
        <w:rPr>
          <w:b/>
          <w:bCs/>
          <w:szCs w:val="22"/>
        </w:rPr>
        <w:t>Al-Anon/</w:t>
      </w:r>
      <w:proofErr w:type="spellStart"/>
      <w:r w:rsidRPr="00144412">
        <w:rPr>
          <w:b/>
          <w:bCs/>
          <w:szCs w:val="22"/>
        </w:rPr>
        <w:t>Alateen</w:t>
      </w:r>
      <w:proofErr w:type="spellEnd"/>
      <w:r w:rsidRPr="00144412">
        <w:rPr>
          <w:b/>
          <w:bCs/>
          <w:szCs w:val="22"/>
        </w:rPr>
        <w:t xml:space="preserve"> Massachusetts</w:t>
      </w:r>
    </w:p>
    <w:p w14:paraId="5971E47C" w14:textId="77777777" w:rsidR="00985308" w:rsidRPr="00525BB2" w:rsidRDefault="00B9592C" w:rsidP="00985308">
      <w:pPr>
        <w:rPr>
          <w:szCs w:val="22"/>
        </w:rPr>
      </w:pPr>
      <w:hyperlink r:id="rId26">
        <w:r w:rsidR="00985308" w:rsidRPr="00525BB2">
          <w:rPr>
            <w:rStyle w:val="Hyperlink"/>
            <w:szCs w:val="22"/>
          </w:rPr>
          <w:t>http://www.ma-al-anon-alateen.org/</w:t>
        </w:r>
      </w:hyperlink>
    </w:p>
    <w:p w14:paraId="01574F07" w14:textId="77777777" w:rsidR="00985308" w:rsidRPr="00525BB2" w:rsidRDefault="00985308" w:rsidP="00985308">
      <w:pPr>
        <w:rPr>
          <w:szCs w:val="22"/>
        </w:rPr>
      </w:pPr>
      <w:r w:rsidRPr="00525BB2">
        <w:rPr>
          <w:szCs w:val="22"/>
        </w:rPr>
        <w:t>1-508-366-0556</w:t>
      </w:r>
    </w:p>
    <w:p w14:paraId="0D7F7B30" w14:textId="77777777" w:rsidR="00985308" w:rsidRPr="00525BB2" w:rsidRDefault="00985308" w:rsidP="00985308">
      <w:pPr>
        <w:rPr>
          <w:szCs w:val="22"/>
        </w:rPr>
      </w:pPr>
    </w:p>
    <w:p w14:paraId="6EA5AA64" w14:textId="77777777" w:rsidR="00985308" w:rsidRPr="00144412" w:rsidRDefault="00985308" w:rsidP="00985308">
      <w:pPr>
        <w:rPr>
          <w:b/>
          <w:bCs/>
          <w:szCs w:val="22"/>
        </w:rPr>
      </w:pPr>
      <w:r w:rsidRPr="00144412">
        <w:rPr>
          <w:b/>
          <w:bCs/>
          <w:szCs w:val="22"/>
        </w:rPr>
        <w:t>New England Region of Narcotics Anonymous</w:t>
      </w:r>
    </w:p>
    <w:p w14:paraId="6486AE62" w14:textId="77777777" w:rsidR="00985308" w:rsidRPr="00525BB2" w:rsidRDefault="00B9592C" w:rsidP="00985308">
      <w:pPr>
        <w:rPr>
          <w:szCs w:val="22"/>
        </w:rPr>
      </w:pPr>
      <w:hyperlink r:id="rId27">
        <w:r w:rsidR="00985308" w:rsidRPr="00525BB2">
          <w:rPr>
            <w:rStyle w:val="Hyperlink"/>
            <w:szCs w:val="22"/>
          </w:rPr>
          <w:t>www.newenglandna.org</w:t>
        </w:r>
      </w:hyperlink>
      <w:r w:rsidR="00985308" w:rsidRPr="00525BB2">
        <w:rPr>
          <w:szCs w:val="22"/>
        </w:rPr>
        <w:t xml:space="preserve"> </w:t>
      </w:r>
    </w:p>
    <w:p w14:paraId="1DDCC4FD" w14:textId="77777777" w:rsidR="00985308" w:rsidRPr="00525BB2" w:rsidRDefault="00985308" w:rsidP="00985308">
      <w:pPr>
        <w:rPr>
          <w:szCs w:val="22"/>
        </w:rPr>
      </w:pPr>
      <w:r w:rsidRPr="00525BB2">
        <w:rPr>
          <w:szCs w:val="22"/>
        </w:rPr>
        <w:t>1-866-NA HELP U</w:t>
      </w:r>
    </w:p>
    <w:p w14:paraId="397DDA27" w14:textId="77777777" w:rsidR="00985308" w:rsidRPr="00525BB2" w:rsidRDefault="00985308" w:rsidP="00985308">
      <w:pPr>
        <w:rPr>
          <w:szCs w:val="22"/>
        </w:rPr>
      </w:pPr>
    </w:p>
    <w:p w14:paraId="2C26E582" w14:textId="77777777" w:rsidR="00985308" w:rsidRPr="00660624" w:rsidRDefault="00985308" w:rsidP="00985308">
      <w:pPr>
        <w:rPr>
          <w:b/>
          <w:bCs/>
          <w:szCs w:val="22"/>
        </w:rPr>
      </w:pPr>
      <w:r w:rsidRPr="00660624">
        <w:rPr>
          <w:b/>
          <w:bCs/>
          <w:szCs w:val="22"/>
        </w:rPr>
        <w:t>Cocaine Anonymous of Massachusetts</w:t>
      </w:r>
    </w:p>
    <w:p w14:paraId="6B3F6FCF" w14:textId="77777777" w:rsidR="00985308" w:rsidRPr="00525BB2" w:rsidRDefault="00B9592C" w:rsidP="00985308">
      <w:pPr>
        <w:rPr>
          <w:szCs w:val="22"/>
        </w:rPr>
      </w:pPr>
      <w:hyperlink r:id="rId28">
        <w:r w:rsidR="00985308" w:rsidRPr="00525BB2">
          <w:rPr>
            <w:rStyle w:val="Hyperlink"/>
            <w:szCs w:val="22"/>
          </w:rPr>
          <w:t>www.caofma.org</w:t>
        </w:r>
      </w:hyperlink>
      <w:r w:rsidR="00985308" w:rsidRPr="00525BB2">
        <w:rPr>
          <w:szCs w:val="22"/>
        </w:rPr>
        <w:t xml:space="preserve"> </w:t>
      </w:r>
    </w:p>
    <w:p w14:paraId="7BB15241" w14:textId="77777777" w:rsidR="00985308" w:rsidRPr="00525BB2" w:rsidRDefault="00985308" w:rsidP="00985308">
      <w:pPr>
        <w:rPr>
          <w:szCs w:val="22"/>
        </w:rPr>
      </w:pPr>
      <w:r>
        <w:rPr>
          <w:szCs w:val="22"/>
        </w:rPr>
        <w:t>617-539-6090</w:t>
      </w:r>
    </w:p>
    <w:p w14:paraId="5CAD83C5" w14:textId="77777777" w:rsidR="00985308" w:rsidRPr="00525BB2" w:rsidRDefault="00985308" w:rsidP="00985308">
      <w:pPr>
        <w:rPr>
          <w:szCs w:val="22"/>
        </w:rPr>
      </w:pPr>
    </w:p>
    <w:p w14:paraId="07A4F5A9" w14:textId="77777777" w:rsidR="00985308" w:rsidRPr="00660624" w:rsidRDefault="00985308" w:rsidP="00985308">
      <w:pPr>
        <w:rPr>
          <w:b/>
          <w:bCs/>
          <w:szCs w:val="22"/>
        </w:rPr>
      </w:pPr>
      <w:r w:rsidRPr="00660624">
        <w:rPr>
          <w:b/>
          <w:bCs/>
          <w:szCs w:val="22"/>
        </w:rPr>
        <w:t xml:space="preserve">Massachusetts Organization for Addiction Recovery </w:t>
      </w:r>
    </w:p>
    <w:p w14:paraId="5E7106BF" w14:textId="77777777" w:rsidR="00985308" w:rsidRPr="00525BB2" w:rsidRDefault="00B9592C" w:rsidP="00985308">
      <w:pPr>
        <w:rPr>
          <w:szCs w:val="22"/>
        </w:rPr>
      </w:pPr>
      <w:hyperlink r:id="rId29" w:history="1">
        <w:r w:rsidR="00985308" w:rsidRPr="00885D16">
          <w:rPr>
            <w:rStyle w:val="Hyperlink"/>
            <w:szCs w:val="22"/>
          </w:rPr>
          <w:t>http://www.moar-recovery.org</w:t>
        </w:r>
      </w:hyperlink>
      <w:r w:rsidR="00985308">
        <w:rPr>
          <w:szCs w:val="22"/>
        </w:rPr>
        <w:t xml:space="preserve"> </w:t>
      </w:r>
    </w:p>
    <w:p w14:paraId="311CA9A0" w14:textId="77777777" w:rsidR="00985308" w:rsidRPr="00525BB2" w:rsidRDefault="00985308" w:rsidP="00985308">
      <w:pPr>
        <w:rPr>
          <w:szCs w:val="22"/>
        </w:rPr>
      </w:pPr>
    </w:p>
    <w:p w14:paraId="33A4299B" w14:textId="77777777" w:rsidR="00985308" w:rsidRPr="00660624" w:rsidRDefault="00985308" w:rsidP="00985308">
      <w:pPr>
        <w:rPr>
          <w:b/>
          <w:bCs/>
          <w:szCs w:val="22"/>
        </w:rPr>
      </w:pPr>
      <w:r w:rsidRPr="00660624">
        <w:rPr>
          <w:b/>
          <w:bCs/>
          <w:szCs w:val="22"/>
        </w:rPr>
        <w:t>Marijuana Anonymous World Services</w:t>
      </w:r>
    </w:p>
    <w:p w14:paraId="3BDCE7EA" w14:textId="77777777" w:rsidR="00985308" w:rsidRPr="00525BB2" w:rsidRDefault="00B9592C" w:rsidP="00985308">
      <w:pPr>
        <w:rPr>
          <w:szCs w:val="22"/>
        </w:rPr>
      </w:pPr>
      <w:hyperlink r:id="rId30">
        <w:r w:rsidR="00985308" w:rsidRPr="00525BB2">
          <w:rPr>
            <w:rStyle w:val="Hyperlink"/>
            <w:szCs w:val="22"/>
          </w:rPr>
          <w:t>www.marijuana-anonymous.org</w:t>
        </w:r>
      </w:hyperlink>
      <w:r w:rsidR="00985308" w:rsidRPr="00525BB2">
        <w:rPr>
          <w:szCs w:val="22"/>
        </w:rPr>
        <w:t xml:space="preserve"> </w:t>
      </w:r>
    </w:p>
    <w:p w14:paraId="01DA68B5" w14:textId="77777777" w:rsidR="00985308" w:rsidRPr="00525BB2" w:rsidRDefault="00985308" w:rsidP="00985308">
      <w:pPr>
        <w:rPr>
          <w:szCs w:val="22"/>
        </w:rPr>
      </w:pPr>
    </w:p>
    <w:p w14:paraId="32EF996F" w14:textId="77777777" w:rsidR="00985308" w:rsidRPr="00660624" w:rsidRDefault="00985308" w:rsidP="00985308">
      <w:pPr>
        <w:rPr>
          <w:b/>
          <w:bCs/>
          <w:szCs w:val="22"/>
        </w:rPr>
      </w:pPr>
      <w:r w:rsidRPr="00660624">
        <w:rPr>
          <w:b/>
          <w:bCs/>
          <w:szCs w:val="22"/>
        </w:rPr>
        <w:t xml:space="preserve">SAMHSA National Helpline </w:t>
      </w:r>
    </w:p>
    <w:p w14:paraId="2CDDFB37" w14:textId="520869D1" w:rsidR="00985308" w:rsidRPr="00525BB2" w:rsidRDefault="00B9592C" w:rsidP="00985308">
      <w:pPr>
        <w:rPr>
          <w:szCs w:val="22"/>
        </w:rPr>
      </w:pPr>
      <w:hyperlink r:id="rId31" w:history="1">
        <w:r w:rsidR="00D56D25" w:rsidRPr="00D47E92">
          <w:rPr>
            <w:rStyle w:val="Hyperlink"/>
            <w:szCs w:val="22"/>
            <w:shd w:val="clear" w:color="auto" w:fill="FFFFFF"/>
          </w:rPr>
          <w:t>www.samhsa.gov/find-help/national-helpline</w:t>
        </w:r>
      </w:hyperlink>
      <w:r w:rsidR="00D56D25">
        <w:rPr>
          <w:rStyle w:val="Hyperlink"/>
          <w:color w:val="003399"/>
          <w:szCs w:val="22"/>
          <w:shd w:val="clear" w:color="auto" w:fill="FFFFFF"/>
        </w:rPr>
        <w:t xml:space="preserve"> </w:t>
      </w:r>
    </w:p>
    <w:p w14:paraId="5AFB26D3" w14:textId="77777777" w:rsidR="00985308" w:rsidRPr="00D56D25" w:rsidRDefault="00985308" w:rsidP="00985308">
      <w:pPr>
        <w:rPr>
          <w:b/>
          <w:bCs/>
          <w:szCs w:val="22"/>
        </w:rPr>
      </w:pPr>
      <w:r w:rsidRPr="00D56D25">
        <w:rPr>
          <w:rStyle w:val="Strong"/>
          <w:b w:val="0"/>
          <w:bCs w:val="0"/>
          <w:color w:val="000000"/>
          <w:szCs w:val="22"/>
          <w:shd w:val="clear" w:color="auto" w:fill="FFFFFF"/>
        </w:rPr>
        <w:t>1-800-662-HELP (4357)</w:t>
      </w:r>
    </w:p>
    <w:p w14:paraId="700D4F2E" w14:textId="77777777" w:rsidR="00985308" w:rsidRPr="00525BB2" w:rsidRDefault="00985308" w:rsidP="00985308">
      <w:pPr>
        <w:rPr>
          <w:szCs w:val="22"/>
        </w:rPr>
      </w:pPr>
    </w:p>
    <w:p w14:paraId="49A39271" w14:textId="77777777" w:rsidR="00985308" w:rsidRPr="00660624" w:rsidRDefault="00985308" w:rsidP="00985308">
      <w:pPr>
        <w:rPr>
          <w:b/>
          <w:bCs/>
          <w:szCs w:val="22"/>
        </w:rPr>
      </w:pPr>
      <w:r w:rsidRPr="00660624">
        <w:rPr>
          <w:b/>
          <w:bCs/>
          <w:szCs w:val="22"/>
        </w:rPr>
        <w:t xml:space="preserve">Narcotics Anonymous World Services </w:t>
      </w:r>
    </w:p>
    <w:p w14:paraId="2335E746" w14:textId="77777777" w:rsidR="00985308" w:rsidRPr="00525BB2" w:rsidRDefault="00B9592C" w:rsidP="00985308">
      <w:pPr>
        <w:rPr>
          <w:szCs w:val="22"/>
        </w:rPr>
      </w:pPr>
      <w:hyperlink r:id="rId32" w:history="1">
        <w:r w:rsidR="00985308" w:rsidRPr="00525BB2">
          <w:rPr>
            <w:rStyle w:val="Hyperlink"/>
            <w:szCs w:val="22"/>
          </w:rPr>
          <w:t>http://www.na.org/</w:t>
        </w:r>
      </w:hyperlink>
    </w:p>
    <w:p w14:paraId="65F62352" w14:textId="77777777" w:rsidR="00985308" w:rsidRPr="00525BB2" w:rsidRDefault="00985308" w:rsidP="00985308">
      <w:pPr>
        <w:rPr>
          <w:szCs w:val="22"/>
        </w:rPr>
      </w:pPr>
    </w:p>
    <w:p w14:paraId="2EB5F827" w14:textId="77777777" w:rsidR="00985308" w:rsidRPr="00660624" w:rsidRDefault="00985308" w:rsidP="00985308">
      <w:pPr>
        <w:rPr>
          <w:b/>
          <w:bCs/>
          <w:szCs w:val="22"/>
        </w:rPr>
      </w:pPr>
      <w:r w:rsidRPr="00660624">
        <w:rPr>
          <w:b/>
          <w:bCs/>
          <w:szCs w:val="22"/>
        </w:rPr>
        <w:t>Recovery Centers of America</w:t>
      </w:r>
    </w:p>
    <w:p w14:paraId="15FDB135" w14:textId="77777777" w:rsidR="00985308" w:rsidRDefault="00B9592C" w:rsidP="00985308">
      <w:pPr>
        <w:rPr>
          <w:szCs w:val="22"/>
        </w:rPr>
      </w:pPr>
      <w:hyperlink r:id="rId33" w:history="1">
        <w:r w:rsidR="00985308" w:rsidRPr="00885D16">
          <w:rPr>
            <w:rStyle w:val="Hyperlink"/>
            <w:szCs w:val="22"/>
          </w:rPr>
          <w:t>https://recoverycentersofamerica.com</w:t>
        </w:r>
      </w:hyperlink>
      <w:r w:rsidR="00985308">
        <w:rPr>
          <w:szCs w:val="22"/>
        </w:rPr>
        <w:t xml:space="preserve">  </w:t>
      </w:r>
    </w:p>
    <w:p w14:paraId="40840B35" w14:textId="77777777" w:rsidR="00985308" w:rsidRPr="00525BB2" w:rsidRDefault="00985308" w:rsidP="00985308">
      <w:pPr>
        <w:rPr>
          <w:szCs w:val="22"/>
        </w:rPr>
      </w:pPr>
      <w:r>
        <w:rPr>
          <w:szCs w:val="22"/>
        </w:rPr>
        <w:t>844-242-7956</w:t>
      </w:r>
    </w:p>
    <w:p w14:paraId="24AEB8A3" w14:textId="77777777" w:rsidR="00985308" w:rsidRPr="00525BB2" w:rsidRDefault="00985308" w:rsidP="00985308">
      <w:pPr>
        <w:rPr>
          <w:szCs w:val="22"/>
        </w:rPr>
      </w:pPr>
    </w:p>
    <w:p w14:paraId="5DEE0A86" w14:textId="77777777" w:rsidR="00985308" w:rsidRPr="00660624" w:rsidRDefault="00985308" w:rsidP="00985308">
      <w:pPr>
        <w:rPr>
          <w:b/>
          <w:bCs/>
          <w:szCs w:val="22"/>
        </w:rPr>
      </w:pPr>
      <w:r w:rsidRPr="00660624">
        <w:rPr>
          <w:b/>
          <w:bCs/>
          <w:szCs w:val="22"/>
        </w:rPr>
        <w:t xml:space="preserve">Women for Sobriety </w:t>
      </w:r>
    </w:p>
    <w:p w14:paraId="10169132" w14:textId="77777777" w:rsidR="00985308" w:rsidRPr="00525BB2" w:rsidRDefault="00B9592C" w:rsidP="00985308">
      <w:pPr>
        <w:rPr>
          <w:szCs w:val="22"/>
        </w:rPr>
      </w:pPr>
      <w:hyperlink r:id="rId34" w:history="1">
        <w:r w:rsidR="00985308" w:rsidRPr="00885D16">
          <w:rPr>
            <w:rStyle w:val="Hyperlink"/>
          </w:rPr>
          <w:t>https://womenforsobriety.org</w:t>
        </w:r>
      </w:hyperlink>
      <w:r w:rsidR="00985308">
        <w:t xml:space="preserve"> </w:t>
      </w:r>
    </w:p>
    <w:p w14:paraId="4CCCEED3" w14:textId="77777777" w:rsidR="00985308" w:rsidRPr="00525BB2" w:rsidRDefault="00985308" w:rsidP="00985308">
      <w:pPr>
        <w:rPr>
          <w:szCs w:val="22"/>
        </w:rPr>
      </w:pPr>
    </w:p>
    <w:p w14:paraId="6CF2EF50" w14:textId="77777777" w:rsidR="00985308" w:rsidRPr="00660624" w:rsidRDefault="00985308" w:rsidP="00985308">
      <w:pPr>
        <w:rPr>
          <w:b/>
          <w:bCs/>
          <w:szCs w:val="22"/>
        </w:rPr>
      </w:pPr>
      <w:r w:rsidRPr="00660624">
        <w:rPr>
          <w:b/>
          <w:bCs/>
          <w:szCs w:val="22"/>
        </w:rPr>
        <w:t>Right Turn</w:t>
      </w:r>
    </w:p>
    <w:p w14:paraId="3ED3C806" w14:textId="77777777" w:rsidR="00985308" w:rsidRPr="00525BB2" w:rsidRDefault="00B9592C" w:rsidP="00985308">
      <w:pPr>
        <w:rPr>
          <w:szCs w:val="22"/>
        </w:rPr>
      </w:pPr>
      <w:hyperlink r:id="rId35" w:history="1">
        <w:r w:rsidR="00985308" w:rsidRPr="00525BB2">
          <w:rPr>
            <w:rStyle w:val="Hyperlink"/>
            <w:szCs w:val="22"/>
          </w:rPr>
          <w:t>http://www.right-turn.org/</w:t>
        </w:r>
      </w:hyperlink>
    </w:p>
    <w:p w14:paraId="4DEE4405" w14:textId="5E549961" w:rsidR="00C1761C" w:rsidRDefault="00985308" w:rsidP="00C1761C">
      <w:pPr>
        <w:rPr>
          <w:szCs w:val="22"/>
          <w:shd w:val="clear" w:color="auto" w:fill="FFFFFF"/>
        </w:rPr>
      </w:pPr>
      <w:r>
        <w:rPr>
          <w:szCs w:val="22"/>
          <w:shd w:val="clear" w:color="auto" w:fill="FFFFFF"/>
        </w:rPr>
        <w:t>781-646-3800</w:t>
      </w:r>
    </w:p>
    <w:p w14:paraId="136AF3CE" w14:textId="69B751FA" w:rsidR="004E4789" w:rsidRDefault="00985308" w:rsidP="00F75256">
      <w:pPr>
        <w:jc w:val="right"/>
      </w:pPr>
      <w:r>
        <w:rPr>
          <w:szCs w:val="22"/>
          <w:shd w:val="clear" w:color="auto" w:fill="FFFFFF"/>
        </w:rPr>
        <w:t xml:space="preserve">Document created by </w:t>
      </w:r>
      <w:r w:rsidR="00472A45">
        <w:rPr>
          <w:szCs w:val="22"/>
          <w:shd w:val="clear" w:color="auto" w:fill="FFFFFF"/>
        </w:rPr>
        <w:t>Assistant Director</w:t>
      </w:r>
      <w:r>
        <w:rPr>
          <w:szCs w:val="22"/>
          <w:shd w:val="clear" w:color="auto" w:fill="FFFFFF"/>
        </w:rPr>
        <w:t xml:space="preserve"> of </w:t>
      </w:r>
      <w:r w:rsidR="00472A45">
        <w:rPr>
          <w:szCs w:val="22"/>
          <w:shd w:val="clear" w:color="auto" w:fill="FFFFFF"/>
        </w:rPr>
        <w:t>Health Promotion and Education</w:t>
      </w:r>
      <w:r w:rsidR="00907A1C">
        <w:rPr>
          <w:szCs w:val="22"/>
          <w:shd w:val="clear" w:color="auto" w:fill="FFFFFF"/>
        </w:rPr>
        <w:t>s</w:t>
      </w:r>
    </w:p>
    <w:sectPr w:rsidR="004E4789" w:rsidSect="0024344E">
      <w:headerReference w:type="default" r:id="rId3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1E04" w14:textId="77777777" w:rsidR="00B9592C" w:rsidRDefault="00B9592C" w:rsidP="005D7266">
      <w:r>
        <w:separator/>
      </w:r>
    </w:p>
  </w:endnote>
  <w:endnote w:type="continuationSeparator" w:id="0">
    <w:p w14:paraId="14C7B270" w14:textId="77777777" w:rsidR="00B9592C" w:rsidRDefault="00B9592C" w:rsidP="005D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Pro H">
    <w:panose1 w:val="00000000000000000000"/>
    <w:charset w:val="80"/>
    <w:family w:val="swiss"/>
    <w:notTrueType/>
    <w:pitch w:val="variable"/>
    <w:sig w:usb0="00000283" w:usb1="2AC71C11" w:usb2="00000012" w:usb3="00000000" w:csb0="00020005"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E01A" w14:textId="77777777" w:rsidR="00B9592C" w:rsidRDefault="00B9592C" w:rsidP="005D7266">
      <w:r>
        <w:separator/>
      </w:r>
    </w:p>
  </w:footnote>
  <w:footnote w:type="continuationSeparator" w:id="0">
    <w:p w14:paraId="3839F37E" w14:textId="77777777" w:rsidR="00B9592C" w:rsidRDefault="00B9592C" w:rsidP="005D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297413"/>
      <w:docPartObj>
        <w:docPartGallery w:val="Page Numbers (Top of Page)"/>
        <w:docPartUnique/>
      </w:docPartObj>
    </w:sdtPr>
    <w:sdtEndPr>
      <w:rPr>
        <w:b/>
        <w:bCs/>
        <w:noProof/>
      </w:rPr>
    </w:sdtEndPr>
    <w:sdtContent>
      <w:p w14:paraId="50701838" w14:textId="4EA73F13" w:rsidR="00B9592C" w:rsidRDefault="00B9592C">
        <w:pPr>
          <w:pStyle w:val="Header"/>
          <w:pBdr>
            <w:bottom w:val="single" w:sz="4" w:space="1" w:color="D9D9D9" w:themeColor="background1" w:themeShade="D9"/>
          </w:pBdr>
          <w:jc w:val="right"/>
          <w:rPr>
            <w:b/>
            <w:bCs/>
          </w:rPr>
        </w:pPr>
        <w:r>
          <w:t xml:space="preserve">Wentworth Biennial Review 2020 | </w:t>
        </w:r>
        <w:r>
          <w:fldChar w:fldCharType="begin"/>
        </w:r>
        <w:r>
          <w:instrText xml:space="preserve"> PAGE   \* MERGEFORMAT </w:instrText>
        </w:r>
        <w:r>
          <w:fldChar w:fldCharType="separate"/>
        </w:r>
        <w:r w:rsidRPr="0090734C">
          <w:rPr>
            <w:b/>
            <w:bCs/>
            <w:noProof/>
          </w:rPr>
          <w:t>2</w:t>
        </w:r>
        <w:r>
          <w:rPr>
            <w:b/>
            <w:bCs/>
            <w:noProof/>
          </w:rPr>
          <w:fldChar w:fldCharType="end"/>
        </w:r>
      </w:p>
    </w:sdtContent>
  </w:sdt>
  <w:p w14:paraId="775E0D68" w14:textId="77777777" w:rsidR="00B9592C" w:rsidRDefault="00B95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190"/>
    <w:multiLevelType w:val="hybridMultilevel"/>
    <w:tmpl w:val="C5CA6110"/>
    <w:lvl w:ilvl="0" w:tplc="4C944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A56FC"/>
    <w:multiLevelType w:val="multilevel"/>
    <w:tmpl w:val="A728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47FDC"/>
    <w:multiLevelType w:val="multilevel"/>
    <w:tmpl w:val="F530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E2142"/>
    <w:multiLevelType w:val="multilevel"/>
    <w:tmpl w:val="2EDC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D4EB2"/>
    <w:multiLevelType w:val="hybridMultilevel"/>
    <w:tmpl w:val="B4A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62A32"/>
    <w:multiLevelType w:val="hybridMultilevel"/>
    <w:tmpl w:val="DBE6C6FE"/>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5764DE"/>
    <w:multiLevelType w:val="hybridMultilevel"/>
    <w:tmpl w:val="CD98E04C"/>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BE4315"/>
    <w:multiLevelType w:val="hybridMultilevel"/>
    <w:tmpl w:val="C7A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F5C8A"/>
    <w:multiLevelType w:val="multilevel"/>
    <w:tmpl w:val="B1F4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72BB2"/>
    <w:multiLevelType w:val="multilevel"/>
    <w:tmpl w:val="EA0C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2B264D"/>
    <w:multiLevelType w:val="multilevel"/>
    <w:tmpl w:val="08888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B17D8"/>
    <w:multiLevelType w:val="multilevel"/>
    <w:tmpl w:val="CFB6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CB46CE"/>
    <w:multiLevelType w:val="hybridMultilevel"/>
    <w:tmpl w:val="0EA63140"/>
    <w:lvl w:ilvl="0" w:tplc="04090003">
      <w:start w:val="1"/>
      <w:numFmt w:val="bullet"/>
      <w:lvlText w:val="o"/>
      <w:lvlJc w:val="left"/>
      <w:pPr>
        <w:tabs>
          <w:tab w:val="num" w:pos="1080"/>
        </w:tabs>
        <w:ind w:left="1080" w:hanging="360"/>
      </w:pPr>
      <w:rPr>
        <w:rFonts w:ascii="Courier New" w:hAnsi="Courier New" w:cs="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5B7ECC"/>
    <w:multiLevelType w:val="multilevel"/>
    <w:tmpl w:val="63CE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4D650A"/>
    <w:multiLevelType w:val="hybridMultilevel"/>
    <w:tmpl w:val="9996BB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4014B1"/>
    <w:multiLevelType w:val="hybridMultilevel"/>
    <w:tmpl w:val="8D56A336"/>
    <w:lvl w:ilvl="0" w:tplc="04090003">
      <w:start w:val="1"/>
      <w:numFmt w:val="bullet"/>
      <w:lvlText w:val="o"/>
      <w:lvlJc w:val="left"/>
      <w:pPr>
        <w:tabs>
          <w:tab w:val="num" w:pos="1080"/>
        </w:tabs>
        <w:ind w:left="1080" w:hanging="360"/>
      </w:pPr>
      <w:rPr>
        <w:rFonts w:ascii="Courier New" w:hAnsi="Courier New" w:cs="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C130B0"/>
    <w:multiLevelType w:val="multilevel"/>
    <w:tmpl w:val="1A7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010EE"/>
    <w:multiLevelType w:val="hybridMultilevel"/>
    <w:tmpl w:val="4254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76E61"/>
    <w:multiLevelType w:val="hybridMultilevel"/>
    <w:tmpl w:val="89284BC8"/>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0A5D99"/>
    <w:multiLevelType w:val="hybridMultilevel"/>
    <w:tmpl w:val="18C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406D0"/>
    <w:multiLevelType w:val="multilevel"/>
    <w:tmpl w:val="3560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184723"/>
    <w:multiLevelType w:val="hybridMultilevel"/>
    <w:tmpl w:val="887ECF04"/>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0F15F7"/>
    <w:multiLevelType w:val="multilevel"/>
    <w:tmpl w:val="CD9C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4E541B"/>
    <w:multiLevelType w:val="hybridMultilevel"/>
    <w:tmpl w:val="977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21"/>
  </w:num>
  <w:num w:numId="5">
    <w:abstractNumId w:val="6"/>
  </w:num>
  <w:num w:numId="6">
    <w:abstractNumId w:val="12"/>
  </w:num>
  <w:num w:numId="7">
    <w:abstractNumId w:val="15"/>
  </w:num>
  <w:num w:numId="8">
    <w:abstractNumId w:val="17"/>
  </w:num>
  <w:num w:numId="9">
    <w:abstractNumId w:val="19"/>
  </w:num>
  <w:num w:numId="10">
    <w:abstractNumId w:val="0"/>
  </w:num>
  <w:num w:numId="11">
    <w:abstractNumId w:val="22"/>
  </w:num>
  <w:num w:numId="12">
    <w:abstractNumId w:val="1"/>
  </w:num>
  <w:num w:numId="13">
    <w:abstractNumId w:val="3"/>
  </w:num>
  <w:num w:numId="14">
    <w:abstractNumId w:val="8"/>
  </w:num>
  <w:num w:numId="15">
    <w:abstractNumId w:val="20"/>
  </w:num>
  <w:num w:numId="16">
    <w:abstractNumId w:val="13"/>
  </w:num>
  <w:num w:numId="17">
    <w:abstractNumId w:val="11"/>
  </w:num>
  <w:num w:numId="18">
    <w:abstractNumId w:val="10"/>
  </w:num>
  <w:num w:numId="19">
    <w:abstractNumId w:val="9"/>
  </w:num>
  <w:num w:numId="20">
    <w:abstractNumId w:val="4"/>
  </w:num>
  <w:num w:numId="21">
    <w:abstractNumId w:val="23"/>
  </w:num>
  <w:num w:numId="22">
    <w:abstractNumId w:val="7"/>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08"/>
    <w:rsid w:val="000565BF"/>
    <w:rsid w:val="00057CBE"/>
    <w:rsid w:val="000726C1"/>
    <w:rsid w:val="000B3AE8"/>
    <w:rsid w:val="000D4C05"/>
    <w:rsid w:val="00125D9E"/>
    <w:rsid w:val="001323CE"/>
    <w:rsid w:val="001353D8"/>
    <w:rsid w:val="00144412"/>
    <w:rsid w:val="00152938"/>
    <w:rsid w:val="00152D22"/>
    <w:rsid w:val="0015435D"/>
    <w:rsid w:val="00163AA3"/>
    <w:rsid w:val="00164B5E"/>
    <w:rsid w:val="0019572B"/>
    <w:rsid w:val="00196FF1"/>
    <w:rsid w:val="001A214E"/>
    <w:rsid w:val="001F3452"/>
    <w:rsid w:val="0024344E"/>
    <w:rsid w:val="00246676"/>
    <w:rsid w:val="00280294"/>
    <w:rsid w:val="002827E1"/>
    <w:rsid w:val="002C7DF5"/>
    <w:rsid w:val="00372496"/>
    <w:rsid w:val="003B3EB4"/>
    <w:rsid w:val="003C5C77"/>
    <w:rsid w:val="003D2D93"/>
    <w:rsid w:val="00441836"/>
    <w:rsid w:val="00472A45"/>
    <w:rsid w:val="004741C0"/>
    <w:rsid w:val="00490D40"/>
    <w:rsid w:val="004952EC"/>
    <w:rsid w:val="00497F76"/>
    <w:rsid w:val="004C0952"/>
    <w:rsid w:val="004D55E4"/>
    <w:rsid w:val="004E4789"/>
    <w:rsid w:val="0050408B"/>
    <w:rsid w:val="005158C1"/>
    <w:rsid w:val="00535E29"/>
    <w:rsid w:val="005421B6"/>
    <w:rsid w:val="00566099"/>
    <w:rsid w:val="00592DBE"/>
    <w:rsid w:val="005948B1"/>
    <w:rsid w:val="00596747"/>
    <w:rsid w:val="005B3C62"/>
    <w:rsid w:val="005C002E"/>
    <w:rsid w:val="005D7266"/>
    <w:rsid w:val="005D7C5A"/>
    <w:rsid w:val="005E04BB"/>
    <w:rsid w:val="005E76AF"/>
    <w:rsid w:val="00603DF4"/>
    <w:rsid w:val="006052CE"/>
    <w:rsid w:val="00621CCC"/>
    <w:rsid w:val="00622983"/>
    <w:rsid w:val="006333A8"/>
    <w:rsid w:val="00647E95"/>
    <w:rsid w:val="00660624"/>
    <w:rsid w:val="00682ACA"/>
    <w:rsid w:val="006A7109"/>
    <w:rsid w:val="006B200E"/>
    <w:rsid w:val="006B7CEC"/>
    <w:rsid w:val="007110BD"/>
    <w:rsid w:val="00762151"/>
    <w:rsid w:val="007A5EA3"/>
    <w:rsid w:val="007B30F4"/>
    <w:rsid w:val="007D6468"/>
    <w:rsid w:val="007F1C7A"/>
    <w:rsid w:val="007F5747"/>
    <w:rsid w:val="00826D38"/>
    <w:rsid w:val="0083330A"/>
    <w:rsid w:val="00835629"/>
    <w:rsid w:val="00835FCF"/>
    <w:rsid w:val="008634AA"/>
    <w:rsid w:val="0087173B"/>
    <w:rsid w:val="008B184F"/>
    <w:rsid w:val="00900D5B"/>
    <w:rsid w:val="00907A1C"/>
    <w:rsid w:val="00934128"/>
    <w:rsid w:val="00937C63"/>
    <w:rsid w:val="00947314"/>
    <w:rsid w:val="00960664"/>
    <w:rsid w:val="00985308"/>
    <w:rsid w:val="009C1254"/>
    <w:rsid w:val="009C3953"/>
    <w:rsid w:val="009C7934"/>
    <w:rsid w:val="009C7F1F"/>
    <w:rsid w:val="009E4BB1"/>
    <w:rsid w:val="00A77ED1"/>
    <w:rsid w:val="00A906DC"/>
    <w:rsid w:val="00AA03AD"/>
    <w:rsid w:val="00AE0666"/>
    <w:rsid w:val="00AE42AE"/>
    <w:rsid w:val="00B4335C"/>
    <w:rsid w:val="00B52A69"/>
    <w:rsid w:val="00B52EAD"/>
    <w:rsid w:val="00B951D6"/>
    <w:rsid w:val="00B9592C"/>
    <w:rsid w:val="00C01527"/>
    <w:rsid w:val="00C1761C"/>
    <w:rsid w:val="00C60780"/>
    <w:rsid w:val="00C6331F"/>
    <w:rsid w:val="00D22543"/>
    <w:rsid w:val="00D31C94"/>
    <w:rsid w:val="00D56D25"/>
    <w:rsid w:val="00D72120"/>
    <w:rsid w:val="00DA17CD"/>
    <w:rsid w:val="00DB225D"/>
    <w:rsid w:val="00DC5CFF"/>
    <w:rsid w:val="00E06AD9"/>
    <w:rsid w:val="00E12F75"/>
    <w:rsid w:val="00E53423"/>
    <w:rsid w:val="00E66E75"/>
    <w:rsid w:val="00EC5055"/>
    <w:rsid w:val="00ED5D8D"/>
    <w:rsid w:val="00EF2D65"/>
    <w:rsid w:val="00F0581B"/>
    <w:rsid w:val="00F17DD1"/>
    <w:rsid w:val="00F22745"/>
    <w:rsid w:val="00F75256"/>
    <w:rsid w:val="00F8199C"/>
    <w:rsid w:val="00F91737"/>
    <w:rsid w:val="00FB44C9"/>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B457"/>
  <w15:chartTrackingRefBased/>
  <w15:docId w15:val="{22B29F6C-1CB4-47A9-90E7-4A4E9BBC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08"/>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qFormat/>
    <w:rsid w:val="00985308"/>
    <w:pPr>
      <w:keepNext/>
      <w:keepLines/>
      <w:spacing w:before="480"/>
      <w:outlineLvl w:val="0"/>
    </w:pPr>
    <w:rPr>
      <w:rFonts w:eastAsiaTheme="majorEastAsia" w:cstheme="majorBidi"/>
      <w:b/>
      <w:bCs/>
      <w:sz w:val="40"/>
      <w:szCs w:val="28"/>
      <w:u w:val="single"/>
    </w:rPr>
  </w:style>
  <w:style w:type="paragraph" w:styleId="Heading2">
    <w:name w:val="heading 2"/>
    <w:basedOn w:val="Normal"/>
    <w:next w:val="Normal"/>
    <w:link w:val="Heading2Char"/>
    <w:unhideWhenUsed/>
    <w:qFormat/>
    <w:rsid w:val="00985308"/>
    <w:pPr>
      <w:keepNext/>
      <w:keepLines/>
      <w:spacing w:before="200"/>
      <w:outlineLvl w:val="1"/>
    </w:pPr>
    <w:rPr>
      <w:rFonts w:eastAsiaTheme="majorEastAsia" w:cstheme="majorBidi"/>
      <w:bCs/>
      <w:sz w:val="40"/>
      <w:szCs w:val="26"/>
    </w:rPr>
  </w:style>
  <w:style w:type="paragraph" w:styleId="Heading3">
    <w:name w:val="heading 3"/>
    <w:basedOn w:val="Normal"/>
    <w:next w:val="Normal"/>
    <w:link w:val="Heading3Char"/>
    <w:qFormat/>
    <w:rsid w:val="00985308"/>
    <w:pPr>
      <w:keepNext/>
      <w:outlineLvl w:val="2"/>
    </w:pPr>
    <w:rPr>
      <w:rFonts w:eastAsia="Times New Roman"/>
      <w:b/>
      <w:bCs/>
      <w:sz w:val="28"/>
      <w:u w:val="single"/>
      <w:lang w:eastAsia="en-US"/>
    </w:rPr>
  </w:style>
  <w:style w:type="paragraph" w:styleId="Heading4">
    <w:name w:val="heading 4"/>
    <w:basedOn w:val="Normal"/>
    <w:next w:val="Normal"/>
    <w:link w:val="Heading4Char"/>
    <w:uiPriority w:val="9"/>
    <w:semiHidden/>
    <w:unhideWhenUsed/>
    <w:qFormat/>
    <w:rsid w:val="00FF2D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308"/>
    <w:rPr>
      <w:rFonts w:ascii="Times New Roman" w:eastAsiaTheme="majorEastAsia" w:hAnsi="Times New Roman" w:cstheme="majorBidi"/>
      <w:b/>
      <w:bCs/>
      <w:sz w:val="40"/>
      <w:szCs w:val="28"/>
      <w:u w:val="single"/>
      <w:lang w:eastAsia="zh-TW"/>
    </w:rPr>
  </w:style>
  <w:style w:type="character" w:customStyle="1" w:styleId="Heading2Char">
    <w:name w:val="Heading 2 Char"/>
    <w:basedOn w:val="DefaultParagraphFont"/>
    <w:link w:val="Heading2"/>
    <w:rsid w:val="00985308"/>
    <w:rPr>
      <w:rFonts w:ascii="Times New Roman" w:eastAsiaTheme="majorEastAsia" w:hAnsi="Times New Roman" w:cstheme="majorBidi"/>
      <w:bCs/>
      <w:sz w:val="40"/>
      <w:szCs w:val="26"/>
      <w:lang w:eastAsia="zh-TW"/>
    </w:rPr>
  </w:style>
  <w:style w:type="character" w:customStyle="1" w:styleId="Heading3Char">
    <w:name w:val="Heading 3 Char"/>
    <w:basedOn w:val="DefaultParagraphFont"/>
    <w:link w:val="Heading3"/>
    <w:rsid w:val="00985308"/>
    <w:rPr>
      <w:rFonts w:ascii="Times New Roman" w:eastAsia="Times New Roman" w:hAnsi="Times New Roman" w:cs="Times New Roman"/>
      <w:b/>
      <w:bCs/>
      <w:sz w:val="28"/>
      <w:szCs w:val="24"/>
      <w:u w:val="single"/>
    </w:rPr>
  </w:style>
  <w:style w:type="character" w:styleId="Hyperlink">
    <w:name w:val="Hyperlink"/>
    <w:basedOn w:val="DefaultParagraphFont"/>
    <w:uiPriority w:val="99"/>
    <w:rsid w:val="00985308"/>
    <w:rPr>
      <w:color w:val="0000FF"/>
      <w:u w:val="single"/>
    </w:rPr>
  </w:style>
  <w:style w:type="paragraph" w:styleId="Header">
    <w:name w:val="header"/>
    <w:basedOn w:val="Normal"/>
    <w:link w:val="HeaderChar"/>
    <w:uiPriority w:val="99"/>
    <w:rsid w:val="00985308"/>
    <w:pPr>
      <w:tabs>
        <w:tab w:val="center" w:pos="4320"/>
        <w:tab w:val="right" w:pos="8640"/>
      </w:tabs>
    </w:pPr>
  </w:style>
  <w:style w:type="character" w:customStyle="1" w:styleId="HeaderChar">
    <w:name w:val="Header Char"/>
    <w:basedOn w:val="DefaultParagraphFont"/>
    <w:link w:val="Header"/>
    <w:uiPriority w:val="99"/>
    <w:rsid w:val="00985308"/>
    <w:rPr>
      <w:rFonts w:ascii="Times New Roman" w:eastAsia="PMingLiU" w:hAnsi="Times New Roman" w:cs="Times New Roman"/>
      <w:sz w:val="24"/>
      <w:szCs w:val="24"/>
      <w:lang w:eastAsia="zh-TW"/>
    </w:rPr>
  </w:style>
  <w:style w:type="paragraph" w:styleId="ListParagraph">
    <w:name w:val="List Paragraph"/>
    <w:basedOn w:val="Normal"/>
    <w:uiPriority w:val="34"/>
    <w:qFormat/>
    <w:rsid w:val="00985308"/>
    <w:pPr>
      <w:ind w:left="720"/>
      <w:contextualSpacing/>
    </w:pPr>
  </w:style>
  <w:style w:type="character" w:styleId="Emphasis">
    <w:name w:val="Emphasis"/>
    <w:basedOn w:val="DefaultParagraphFont"/>
    <w:uiPriority w:val="20"/>
    <w:qFormat/>
    <w:rsid w:val="00985308"/>
    <w:rPr>
      <w:i/>
      <w:iCs/>
    </w:rPr>
  </w:style>
  <w:style w:type="paragraph" w:styleId="NormalWeb">
    <w:name w:val="Normal (Web)"/>
    <w:basedOn w:val="Normal"/>
    <w:uiPriority w:val="99"/>
    <w:unhideWhenUsed/>
    <w:rsid w:val="00985308"/>
    <w:pPr>
      <w:spacing w:before="100" w:beforeAutospacing="1" w:after="100" w:afterAutospacing="1"/>
    </w:pPr>
    <w:rPr>
      <w:rFonts w:eastAsia="Times New Roman"/>
      <w:lang w:eastAsia="en-US"/>
    </w:rPr>
  </w:style>
  <w:style w:type="paragraph" w:styleId="Title">
    <w:name w:val="Title"/>
    <w:basedOn w:val="Normal"/>
    <w:next w:val="Normal"/>
    <w:link w:val="TitleChar"/>
    <w:qFormat/>
    <w:rsid w:val="00985308"/>
    <w:pPr>
      <w:pBdr>
        <w:bottom w:val="single" w:sz="8" w:space="4" w:color="4472C4" w:themeColor="accent1"/>
      </w:pBdr>
      <w:spacing w:after="300"/>
      <w:contextualSpacing/>
      <w:jc w:val="center"/>
    </w:pPr>
    <w:rPr>
      <w:rFonts w:ascii="Segoe UI" w:eastAsiaTheme="majorEastAsia" w:hAnsi="Segoe UI" w:cstheme="majorBidi"/>
      <w:b/>
      <w:spacing w:val="5"/>
      <w:kern w:val="28"/>
      <w:sz w:val="96"/>
      <w:szCs w:val="52"/>
    </w:rPr>
  </w:style>
  <w:style w:type="character" w:customStyle="1" w:styleId="TitleChar">
    <w:name w:val="Title Char"/>
    <w:basedOn w:val="DefaultParagraphFont"/>
    <w:link w:val="Title"/>
    <w:rsid w:val="00985308"/>
    <w:rPr>
      <w:rFonts w:ascii="Segoe UI" w:eastAsiaTheme="majorEastAsia" w:hAnsi="Segoe UI" w:cstheme="majorBidi"/>
      <w:b/>
      <w:spacing w:val="5"/>
      <w:kern w:val="28"/>
      <w:sz w:val="96"/>
      <w:szCs w:val="52"/>
      <w:lang w:eastAsia="zh-TW"/>
    </w:rPr>
  </w:style>
  <w:style w:type="paragraph" w:styleId="TOCHeading">
    <w:name w:val="TOC Heading"/>
    <w:basedOn w:val="Heading1"/>
    <w:next w:val="Normal"/>
    <w:uiPriority w:val="39"/>
    <w:unhideWhenUsed/>
    <w:qFormat/>
    <w:rsid w:val="00985308"/>
    <w:pPr>
      <w:spacing w:line="276" w:lineRule="auto"/>
      <w:outlineLvl w:val="9"/>
    </w:pPr>
    <w:rPr>
      <w:lang w:eastAsia="ja-JP"/>
    </w:rPr>
  </w:style>
  <w:style w:type="paragraph" w:styleId="TOC1">
    <w:name w:val="toc 1"/>
    <w:basedOn w:val="Normal"/>
    <w:next w:val="Normal"/>
    <w:autoRedefine/>
    <w:uiPriority w:val="39"/>
    <w:rsid w:val="00985308"/>
    <w:pPr>
      <w:spacing w:after="100"/>
    </w:pPr>
  </w:style>
  <w:style w:type="character" w:styleId="Strong">
    <w:name w:val="Strong"/>
    <w:basedOn w:val="DefaultParagraphFont"/>
    <w:uiPriority w:val="22"/>
    <w:qFormat/>
    <w:rsid w:val="00985308"/>
    <w:rPr>
      <w:b/>
      <w:bCs/>
    </w:rPr>
  </w:style>
  <w:style w:type="character" w:customStyle="1" w:styleId="apple-converted-space">
    <w:name w:val="apple-converted-space"/>
    <w:basedOn w:val="DefaultParagraphFont"/>
    <w:rsid w:val="00985308"/>
  </w:style>
  <w:style w:type="table" w:styleId="TableGrid">
    <w:name w:val="Table Grid"/>
    <w:basedOn w:val="TableNormal"/>
    <w:rsid w:val="00985308"/>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7266"/>
    <w:pPr>
      <w:tabs>
        <w:tab w:val="center" w:pos="4680"/>
        <w:tab w:val="right" w:pos="9360"/>
      </w:tabs>
    </w:pPr>
  </w:style>
  <w:style w:type="character" w:customStyle="1" w:styleId="FooterChar">
    <w:name w:val="Footer Char"/>
    <w:basedOn w:val="DefaultParagraphFont"/>
    <w:link w:val="Footer"/>
    <w:uiPriority w:val="99"/>
    <w:rsid w:val="005D7266"/>
    <w:rPr>
      <w:rFonts w:ascii="Times New Roman" w:eastAsia="PMingLiU" w:hAnsi="Times New Roman" w:cs="Times New Roman"/>
      <w:sz w:val="24"/>
      <w:szCs w:val="24"/>
      <w:lang w:eastAsia="zh-TW"/>
    </w:rPr>
  </w:style>
  <w:style w:type="character" w:styleId="UnresolvedMention">
    <w:name w:val="Unresolved Mention"/>
    <w:basedOn w:val="DefaultParagraphFont"/>
    <w:uiPriority w:val="99"/>
    <w:semiHidden/>
    <w:unhideWhenUsed/>
    <w:rsid w:val="00934128"/>
    <w:rPr>
      <w:color w:val="605E5C"/>
      <w:shd w:val="clear" w:color="auto" w:fill="E1DFDD"/>
    </w:rPr>
  </w:style>
  <w:style w:type="character" w:styleId="FollowedHyperlink">
    <w:name w:val="FollowedHyperlink"/>
    <w:basedOn w:val="DefaultParagraphFont"/>
    <w:uiPriority w:val="99"/>
    <w:semiHidden/>
    <w:unhideWhenUsed/>
    <w:rsid w:val="00934128"/>
    <w:rPr>
      <w:color w:val="954F72" w:themeColor="followedHyperlink"/>
      <w:u w:val="single"/>
    </w:rPr>
  </w:style>
  <w:style w:type="character" w:customStyle="1" w:styleId="Heading4Char">
    <w:name w:val="Heading 4 Char"/>
    <w:basedOn w:val="DefaultParagraphFont"/>
    <w:link w:val="Heading4"/>
    <w:uiPriority w:val="9"/>
    <w:semiHidden/>
    <w:rsid w:val="00FF2D37"/>
    <w:rPr>
      <w:rFonts w:asciiTheme="majorHAnsi" w:eastAsiaTheme="majorEastAsia" w:hAnsiTheme="majorHAnsi" w:cstheme="majorBidi"/>
      <w:i/>
      <w:iCs/>
      <w:color w:val="2F5496" w:themeColor="accent1" w:themeShade="BF"/>
      <w:sz w:val="24"/>
      <w:szCs w:val="24"/>
      <w:lang w:eastAsia="zh-TW"/>
    </w:rPr>
  </w:style>
  <w:style w:type="paragraph" w:styleId="TOC2">
    <w:name w:val="toc 2"/>
    <w:basedOn w:val="Normal"/>
    <w:next w:val="Normal"/>
    <w:autoRedefine/>
    <w:uiPriority w:val="39"/>
    <w:unhideWhenUsed/>
    <w:rsid w:val="006A7109"/>
    <w:pPr>
      <w:spacing w:after="100"/>
      <w:ind w:left="240"/>
    </w:pPr>
  </w:style>
  <w:style w:type="paragraph" w:styleId="TOC3">
    <w:name w:val="toc 3"/>
    <w:basedOn w:val="Normal"/>
    <w:next w:val="Normal"/>
    <w:autoRedefine/>
    <w:uiPriority w:val="39"/>
    <w:unhideWhenUsed/>
    <w:rsid w:val="006A710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239752">
      <w:bodyDiv w:val="1"/>
      <w:marLeft w:val="0"/>
      <w:marRight w:val="0"/>
      <w:marTop w:val="0"/>
      <w:marBottom w:val="0"/>
      <w:divBdr>
        <w:top w:val="none" w:sz="0" w:space="0" w:color="auto"/>
        <w:left w:val="none" w:sz="0" w:space="0" w:color="auto"/>
        <w:bottom w:val="none" w:sz="0" w:space="0" w:color="auto"/>
        <w:right w:val="none" w:sz="0" w:space="0" w:color="auto"/>
      </w:divBdr>
    </w:div>
    <w:div w:id="1014378252">
      <w:bodyDiv w:val="1"/>
      <w:marLeft w:val="0"/>
      <w:marRight w:val="0"/>
      <w:marTop w:val="0"/>
      <w:marBottom w:val="0"/>
      <w:divBdr>
        <w:top w:val="none" w:sz="0" w:space="0" w:color="auto"/>
        <w:left w:val="none" w:sz="0" w:space="0" w:color="auto"/>
        <w:bottom w:val="none" w:sz="0" w:space="0" w:color="auto"/>
        <w:right w:val="none" w:sz="0" w:space="0" w:color="auto"/>
      </w:divBdr>
    </w:div>
    <w:div w:id="1215119458">
      <w:bodyDiv w:val="1"/>
      <w:marLeft w:val="0"/>
      <w:marRight w:val="0"/>
      <w:marTop w:val="0"/>
      <w:marBottom w:val="0"/>
      <w:divBdr>
        <w:top w:val="none" w:sz="0" w:space="0" w:color="auto"/>
        <w:left w:val="none" w:sz="0" w:space="0" w:color="auto"/>
        <w:bottom w:val="none" w:sz="0" w:space="0" w:color="auto"/>
        <w:right w:val="none" w:sz="0" w:space="0" w:color="auto"/>
      </w:divBdr>
    </w:div>
    <w:div w:id="1663780285">
      <w:bodyDiv w:val="1"/>
      <w:marLeft w:val="0"/>
      <w:marRight w:val="0"/>
      <w:marTop w:val="0"/>
      <w:marBottom w:val="0"/>
      <w:divBdr>
        <w:top w:val="none" w:sz="0" w:space="0" w:color="auto"/>
        <w:left w:val="none" w:sz="0" w:space="0" w:color="auto"/>
        <w:bottom w:val="none" w:sz="0" w:space="0" w:color="auto"/>
        <w:right w:val="none" w:sz="0" w:space="0" w:color="auto"/>
      </w:divBdr>
    </w:div>
    <w:div w:id="20778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a.gov/index.shtml" TargetMode="External"/><Relationship Id="rId18" Type="http://schemas.openxmlformats.org/officeDocument/2006/relationships/hyperlink" Target="https://wit.edu/health-promotion-education" TargetMode="External"/><Relationship Id="rId26" Type="http://schemas.openxmlformats.org/officeDocument/2006/relationships/hyperlink" Target="http://www.ma-al-anon-alateen.org/" TargetMode="External"/><Relationship Id="rId21" Type="http://schemas.openxmlformats.org/officeDocument/2006/relationships/hyperlink" Target="http://www.helpline-online.com/" TargetMode="External"/><Relationship Id="rId34" Type="http://schemas.openxmlformats.org/officeDocument/2006/relationships/hyperlink" Target="https://womenforsobriety.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ealthPromotion@wit.edu" TargetMode="External"/><Relationship Id="rId25" Type="http://schemas.openxmlformats.org/officeDocument/2006/relationships/hyperlink" Target="http://www.aaboston.org" TargetMode="External"/><Relationship Id="rId33" Type="http://schemas.openxmlformats.org/officeDocument/2006/relationships/hyperlink" Target="https://recoverycentersofameri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t.edu/counseling" TargetMode="External"/><Relationship Id="rId20" Type="http://schemas.openxmlformats.org/officeDocument/2006/relationships/hyperlink" Target="http://www.wit.edu/sd/" TargetMode="External"/><Relationship Id="rId29" Type="http://schemas.openxmlformats.org/officeDocument/2006/relationships/hyperlink" Target="http://www.moar-recove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cleanhospital.org/search?text=alcohol+and+drug+abuse+treatment+program" TargetMode="External"/><Relationship Id="rId32" Type="http://schemas.openxmlformats.org/officeDocument/2006/relationships/hyperlink" Target="http://www.n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unseling@wit.edu" TargetMode="External"/><Relationship Id="rId23" Type="http://schemas.openxmlformats.org/officeDocument/2006/relationships/hyperlink" Target="https://www.massgeneral.org/psychiatry/services/treatmentprograms.aspx?id=2090" TargetMode="External"/><Relationship Id="rId28" Type="http://schemas.openxmlformats.org/officeDocument/2006/relationships/hyperlink" Target="http://www.caofma.org"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it.edu/health-services" TargetMode="External"/><Relationship Id="rId31" Type="http://schemas.openxmlformats.org/officeDocument/2006/relationships/hyperlink" Target="http://www.samhsa.gov/find-help/national-helpli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www.bostonasap.org/who-we-are/" TargetMode="External"/><Relationship Id="rId27" Type="http://schemas.openxmlformats.org/officeDocument/2006/relationships/hyperlink" Target="http://www.newenglandna.org" TargetMode="External"/><Relationship Id="rId30" Type="http://schemas.openxmlformats.org/officeDocument/2006/relationships/hyperlink" Target="http://www.marijuana-anonymous.org" TargetMode="External"/><Relationship Id="rId35" Type="http://schemas.openxmlformats.org/officeDocument/2006/relationships/hyperlink" Target="http://www.right-turn.org/"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Alcohol Violation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Sheet1!$A$2:$A$29</c:f>
              <c:strCache>
                <c:ptCount val="28"/>
                <c:pt idx="0">
                  <c:v>Fall 2006</c:v>
                </c:pt>
                <c:pt idx="1">
                  <c:v>Spring 2007</c:v>
                </c:pt>
                <c:pt idx="2">
                  <c:v>Fall 2007</c:v>
                </c:pt>
                <c:pt idx="3">
                  <c:v>Spring 2008</c:v>
                </c:pt>
                <c:pt idx="4">
                  <c:v>Fall 2008</c:v>
                </c:pt>
                <c:pt idx="5">
                  <c:v>Spring 2009</c:v>
                </c:pt>
                <c:pt idx="6">
                  <c:v>Fall 2009</c:v>
                </c:pt>
                <c:pt idx="7">
                  <c:v>Spring 2010</c:v>
                </c:pt>
                <c:pt idx="8">
                  <c:v>Fall 2010</c:v>
                </c:pt>
                <c:pt idx="9">
                  <c:v>Spring 2011</c:v>
                </c:pt>
                <c:pt idx="10">
                  <c:v>Fall 2011</c:v>
                </c:pt>
                <c:pt idx="11">
                  <c:v>Spring 2012</c:v>
                </c:pt>
                <c:pt idx="12">
                  <c:v>Fall 2012</c:v>
                </c:pt>
                <c:pt idx="13">
                  <c:v>Spring 2013</c:v>
                </c:pt>
                <c:pt idx="14">
                  <c:v>Fall 2013</c:v>
                </c:pt>
                <c:pt idx="15">
                  <c:v>Spring 2014</c:v>
                </c:pt>
                <c:pt idx="16">
                  <c:v>Fall 2014</c:v>
                </c:pt>
                <c:pt idx="17">
                  <c:v>Spring 2015</c:v>
                </c:pt>
                <c:pt idx="18">
                  <c:v>Fall 2015</c:v>
                </c:pt>
                <c:pt idx="19">
                  <c:v>Spring 2016</c:v>
                </c:pt>
                <c:pt idx="20">
                  <c:v>Fall 2016</c:v>
                </c:pt>
                <c:pt idx="21">
                  <c:v>Spring 2017</c:v>
                </c:pt>
                <c:pt idx="22">
                  <c:v>Fall 2017</c:v>
                </c:pt>
                <c:pt idx="23">
                  <c:v>Spring 2018</c:v>
                </c:pt>
                <c:pt idx="24">
                  <c:v>Fall 2018</c:v>
                </c:pt>
                <c:pt idx="25">
                  <c:v>Spring 2019</c:v>
                </c:pt>
                <c:pt idx="26">
                  <c:v>Fall 2019</c:v>
                </c:pt>
                <c:pt idx="27">
                  <c:v>Spring 2020</c:v>
                </c:pt>
              </c:strCache>
            </c:strRef>
          </c:cat>
          <c:val>
            <c:numRef>
              <c:f>Sheet1!$B$2:$B$29</c:f>
              <c:numCache>
                <c:formatCode>General</c:formatCode>
                <c:ptCount val="28"/>
                <c:pt idx="0">
                  <c:v>107</c:v>
                </c:pt>
                <c:pt idx="1">
                  <c:v>83</c:v>
                </c:pt>
                <c:pt idx="2">
                  <c:v>99</c:v>
                </c:pt>
                <c:pt idx="3">
                  <c:v>57</c:v>
                </c:pt>
                <c:pt idx="4">
                  <c:v>75</c:v>
                </c:pt>
                <c:pt idx="5">
                  <c:v>66</c:v>
                </c:pt>
                <c:pt idx="6">
                  <c:v>60</c:v>
                </c:pt>
                <c:pt idx="7">
                  <c:v>43</c:v>
                </c:pt>
                <c:pt idx="8">
                  <c:v>44</c:v>
                </c:pt>
                <c:pt idx="9">
                  <c:v>54</c:v>
                </c:pt>
                <c:pt idx="10">
                  <c:v>61</c:v>
                </c:pt>
                <c:pt idx="11">
                  <c:v>42</c:v>
                </c:pt>
                <c:pt idx="12">
                  <c:v>33</c:v>
                </c:pt>
                <c:pt idx="13">
                  <c:v>31</c:v>
                </c:pt>
                <c:pt idx="14">
                  <c:v>32</c:v>
                </c:pt>
                <c:pt idx="15">
                  <c:v>22</c:v>
                </c:pt>
                <c:pt idx="16">
                  <c:v>34</c:v>
                </c:pt>
                <c:pt idx="17">
                  <c:v>29</c:v>
                </c:pt>
                <c:pt idx="18">
                  <c:v>37</c:v>
                </c:pt>
                <c:pt idx="19">
                  <c:v>24</c:v>
                </c:pt>
                <c:pt idx="20">
                  <c:v>37</c:v>
                </c:pt>
                <c:pt idx="21">
                  <c:v>42</c:v>
                </c:pt>
                <c:pt idx="22">
                  <c:v>21</c:v>
                </c:pt>
                <c:pt idx="23">
                  <c:v>22</c:v>
                </c:pt>
                <c:pt idx="24">
                  <c:v>21</c:v>
                </c:pt>
                <c:pt idx="25">
                  <c:v>13</c:v>
                </c:pt>
                <c:pt idx="26">
                  <c:v>4</c:v>
                </c:pt>
                <c:pt idx="27">
                  <c:v>2</c:v>
                </c:pt>
              </c:numCache>
            </c:numRef>
          </c:val>
          <c:smooth val="0"/>
          <c:extLst>
            <c:ext xmlns:c16="http://schemas.microsoft.com/office/drawing/2014/chart" uri="{C3380CC4-5D6E-409C-BE32-E72D297353CC}">
              <c16:uniqueId val="{00000000-589B-477F-81CA-CDAE6CF373AF}"/>
            </c:ext>
          </c:extLst>
        </c:ser>
        <c:ser>
          <c:idx val="1"/>
          <c:order val="1"/>
          <c:tx>
            <c:strRef>
              <c:f>Sheet1!$C$1</c:f>
              <c:strCache>
                <c:ptCount val="1"/>
                <c:pt idx="0">
                  <c:v>Drug Violation</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Sheet1!$A$2:$A$29</c:f>
              <c:strCache>
                <c:ptCount val="28"/>
                <c:pt idx="0">
                  <c:v>Fall 2006</c:v>
                </c:pt>
                <c:pt idx="1">
                  <c:v>Spring 2007</c:v>
                </c:pt>
                <c:pt idx="2">
                  <c:v>Fall 2007</c:v>
                </c:pt>
                <c:pt idx="3">
                  <c:v>Spring 2008</c:v>
                </c:pt>
                <c:pt idx="4">
                  <c:v>Fall 2008</c:v>
                </c:pt>
                <c:pt idx="5">
                  <c:v>Spring 2009</c:v>
                </c:pt>
                <c:pt idx="6">
                  <c:v>Fall 2009</c:v>
                </c:pt>
                <c:pt idx="7">
                  <c:v>Spring 2010</c:v>
                </c:pt>
                <c:pt idx="8">
                  <c:v>Fall 2010</c:v>
                </c:pt>
                <c:pt idx="9">
                  <c:v>Spring 2011</c:v>
                </c:pt>
                <c:pt idx="10">
                  <c:v>Fall 2011</c:v>
                </c:pt>
                <c:pt idx="11">
                  <c:v>Spring 2012</c:v>
                </c:pt>
                <c:pt idx="12">
                  <c:v>Fall 2012</c:v>
                </c:pt>
                <c:pt idx="13">
                  <c:v>Spring 2013</c:v>
                </c:pt>
                <c:pt idx="14">
                  <c:v>Fall 2013</c:v>
                </c:pt>
                <c:pt idx="15">
                  <c:v>Spring 2014</c:v>
                </c:pt>
                <c:pt idx="16">
                  <c:v>Fall 2014</c:v>
                </c:pt>
                <c:pt idx="17">
                  <c:v>Spring 2015</c:v>
                </c:pt>
                <c:pt idx="18">
                  <c:v>Fall 2015</c:v>
                </c:pt>
                <c:pt idx="19">
                  <c:v>Spring 2016</c:v>
                </c:pt>
                <c:pt idx="20">
                  <c:v>Fall 2016</c:v>
                </c:pt>
                <c:pt idx="21">
                  <c:v>Spring 2017</c:v>
                </c:pt>
                <c:pt idx="22">
                  <c:v>Fall 2017</c:v>
                </c:pt>
                <c:pt idx="23">
                  <c:v>Spring 2018</c:v>
                </c:pt>
                <c:pt idx="24">
                  <c:v>Fall 2018</c:v>
                </c:pt>
                <c:pt idx="25">
                  <c:v>Spring 2019</c:v>
                </c:pt>
                <c:pt idx="26">
                  <c:v>Fall 2019</c:v>
                </c:pt>
                <c:pt idx="27">
                  <c:v>Spring 2020</c:v>
                </c:pt>
              </c:strCache>
            </c:strRef>
          </c:cat>
          <c:val>
            <c:numRef>
              <c:f>Sheet1!$C$2:$C$29</c:f>
              <c:numCache>
                <c:formatCode>General</c:formatCode>
                <c:ptCount val="28"/>
                <c:pt idx="0">
                  <c:v>30</c:v>
                </c:pt>
                <c:pt idx="1">
                  <c:v>31</c:v>
                </c:pt>
                <c:pt idx="2">
                  <c:v>26</c:v>
                </c:pt>
                <c:pt idx="3">
                  <c:v>21</c:v>
                </c:pt>
                <c:pt idx="4">
                  <c:v>18</c:v>
                </c:pt>
                <c:pt idx="5">
                  <c:v>15</c:v>
                </c:pt>
                <c:pt idx="6">
                  <c:v>25</c:v>
                </c:pt>
                <c:pt idx="7">
                  <c:v>19</c:v>
                </c:pt>
                <c:pt idx="8">
                  <c:v>24</c:v>
                </c:pt>
                <c:pt idx="9">
                  <c:v>26</c:v>
                </c:pt>
                <c:pt idx="10">
                  <c:v>30</c:v>
                </c:pt>
                <c:pt idx="11">
                  <c:v>29</c:v>
                </c:pt>
                <c:pt idx="12">
                  <c:v>28</c:v>
                </c:pt>
                <c:pt idx="13">
                  <c:v>27</c:v>
                </c:pt>
                <c:pt idx="14">
                  <c:v>22</c:v>
                </c:pt>
                <c:pt idx="15">
                  <c:v>10</c:v>
                </c:pt>
                <c:pt idx="16">
                  <c:v>19</c:v>
                </c:pt>
                <c:pt idx="17">
                  <c:v>18</c:v>
                </c:pt>
                <c:pt idx="18">
                  <c:v>12</c:v>
                </c:pt>
                <c:pt idx="19">
                  <c:v>13</c:v>
                </c:pt>
                <c:pt idx="20">
                  <c:v>14</c:v>
                </c:pt>
                <c:pt idx="21">
                  <c:v>12</c:v>
                </c:pt>
                <c:pt idx="22">
                  <c:v>8</c:v>
                </c:pt>
                <c:pt idx="23">
                  <c:v>10</c:v>
                </c:pt>
                <c:pt idx="24">
                  <c:v>9</c:v>
                </c:pt>
                <c:pt idx="25">
                  <c:v>6</c:v>
                </c:pt>
                <c:pt idx="26">
                  <c:v>11</c:v>
                </c:pt>
                <c:pt idx="27">
                  <c:v>7</c:v>
                </c:pt>
              </c:numCache>
            </c:numRef>
          </c:val>
          <c:smooth val="0"/>
          <c:extLst>
            <c:ext xmlns:c16="http://schemas.microsoft.com/office/drawing/2014/chart" uri="{C3380CC4-5D6E-409C-BE32-E72D297353CC}">
              <c16:uniqueId val="{00000001-589B-477F-81CA-CDAE6CF373AF}"/>
            </c:ext>
          </c:extLst>
        </c:ser>
        <c:dLbls>
          <c:dLblPos val="ctr"/>
          <c:showLegendKey val="0"/>
          <c:showVal val="1"/>
          <c:showCatName val="0"/>
          <c:showSerName val="0"/>
          <c:showPercent val="0"/>
          <c:showBubbleSize val="0"/>
        </c:dLbls>
        <c:marker val="1"/>
        <c:smooth val="0"/>
        <c:axId val="388023008"/>
        <c:axId val="388023792"/>
      </c:lineChart>
      <c:catAx>
        <c:axId val="38802300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8023792"/>
        <c:crosses val="autoZero"/>
        <c:auto val="1"/>
        <c:lblAlgn val="ctr"/>
        <c:lblOffset val="100"/>
        <c:noMultiLvlLbl val="0"/>
      </c:catAx>
      <c:valAx>
        <c:axId val="3880237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880230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93DB-B6AA-4C42-9534-61C4E05F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16</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Goulart, Amber</dc:creator>
  <cp:keywords/>
  <dc:description/>
  <cp:lastModifiedBy>Goulart, Amber</cp:lastModifiedBy>
  <cp:revision>122</cp:revision>
  <dcterms:created xsi:type="dcterms:W3CDTF">2020-11-05T16:28:00Z</dcterms:created>
  <dcterms:modified xsi:type="dcterms:W3CDTF">2020-12-22T15:15:00Z</dcterms:modified>
</cp:coreProperties>
</file>